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56"/>
      </w:tblGrid>
      <w:tr w:rsidR="00615CA8" w:rsidRPr="00615CA8" w:rsidTr="00615CA8">
        <w:trPr>
          <w:tblCellSpacing w:w="0" w:type="dxa"/>
          <w:jc w:val="center"/>
        </w:trPr>
        <w:tc>
          <w:tcPr>
            <w:tcW w:w="0" w:type="auto"/>
            <w:hideMark/>
          </w:tcPr>
          <w:p w:rsidR="00615CA8" w:rsidRPr="00615CA8" w:rsidRDefault="00615CA8" w:rsidP="00615CA8">
            <w:pPr>
              <w:spacing w:after="0" w:line="330" w:lineRule="atLeast"/>
              <w:jc w:val="both"/>
              <w:rPr>
                <w:rFonts w:ascii="Times New Roman" w:eastAsia="Times New Roman" w:hAnsi="Times New Roman" w:cs="Times New Roman"/>
              </w:rPr>
            </w:pPr>
            <w:bookmarkStart w:id="0" w:name="שכפל"/>
            <w:bookmarkStart w:id="1" w:name="צד_ג"/>
            <w:bookmarkEnd w:id="0"/>
            <w:bookmarkEnd w:id="1"/>
            <w:r w:rsidRPr="00615CA8">
              <w:rPr>
                <w:rFonts w:ascii="Arial" w:eastAsia="Times New Roman" w:hAnsi="Arial" w:cs="Arial"/>
                <w:sz w:val="28"/>
                <w:szCs w:val="28"/>
                <w:rtl/>
              </w:rPr>
              <w:t>1</w:t>
            </w:r>
          </w:p>
        </w:tc>
      </w:tr>
    </w:tbl>
    <w:p w:rsidR="00615CA8" w:rsidRPr="00615CA8" w:rsidRDefault="00615CA8" w:rsidP="00615CA8">
      <w:pPr>
        <w:spacing w:after="0" w:line="330" w:lineRule="atLeast"/>
        <w:jc w:val="center"/>
        <w:rPr>
          <w:rFonts w:ascii="Times New Roman" w:eastAsia="Times New Roman" w:hAnsi="Times New Roman" w:cs="Times New Roman"/>
          <w:color w:val="000000"/>
        </w:rPr>
      </w:pPr>
      <w:r w:rsidRPr="00615CA8">
        <w:rPr>
          <w:rFonts w:ascii="Arial" w:eastAsia="Times New Roman" w:hAnsi="Arial" w:cs="Arial"/>
          <w:color w:val="000000"/>
          <w:sz w:val="28"/>
          <w:szCs w:val="28"/>
          <w:rtl/>
        </w:rPr>
        <w:t> </w:t>
      </w:r>
    </w:p>
    <w:p w:rsidR="00615CA8" w:rsidRPr="00615CA8" w:rsidRDefault="00615CA8" w:rsidP="00615CA8">
      <w:pPr>
        <w:spacing w:after="0" w:line="330" w:lineRule="atLeast"/>
        <w:jc w:val="center"/>
        <w:rPr>
          <w:rFonts w:ascii="Times New Roman" w:eastAsia="Times New Roman" w:hAnsi="Times New Roman" w:cs="Times New Roman"/>
          <w:color w:val="000000"/>
          <w:rtl/>
        </w:rPr>
      </w:pPr>
      <w:r w:rsidRPr="00615CA8">
        <w:rPr>
          <w:rFonts w:ascii="Arial" w:eastAsia="Times New Roman" w:hAnsi="Arial" w:cs="Arial"/>
          <w:b/>
          <w:bCs/>
          <w:color w:val="000000"/>
          <w:sz w:val="28"/>
          <w:szCs w:val="28"/>
        </w:rPr>
        <w:t>   </w:t>
      </w:r>
    </w:p>
    <w:p w:rsidR="00615CA8" w:rsidRPr="00615CA8" w:rsidRDefault="00615CA8" w:rsidP="00615CA8">
      <w:pPr>
        <w:spacing w:after="0" w:line="330" w:lineRule="atLeast"/>
        <w:jc w:val="center"/>
        <w:rPr>
          <w:rFonts w:ascii="Times New Roman" w:eastAsia="Times New Roman" w:hAnsi="Times New Roman" w:cs="Times New Roman"/>
          <w:color w:val="000000"/>
          <w:rtl/>
        </w:rPr>
      </w:pPr>
      <w:r w:rsidRPr="00615CA8">
        <w:rPr>
          <w:rFonts w:ascii="Arial" w:eastAsia="Times New Roman" w:hAnsi="Arial" w:cs="Arial"/>
          <w:b/>
          <w:bCs/>
          <w:color w:val="000000"/>
          <w:sz w:val="24"/>
          <w:szCs w:val="24"/>
          <w:rtl/>
        </w:rPr>
        <w:t>בתי המשפט</w:t>
      </w:r>
    </w:p>
    <w:tbl>
      <w:tblPr>
        <w:tblW w:w="0" w:type="auto"/>
        <w:jc w:val="right"/>
        <w:tblCellMar>
          <w:left w:w="0" w:type="dxa"/>
          <w:right w:w="0" w:type="dxa"/>
        </w:tblCellMar>
        <w:tblLook w:val="04A0" w:firstRow="1" w:lastRow="0" w:firstColumn="1" w:lastColumn="0" w:noHBand="0" w:noVBand="1"/>
      </w:tblPr>
      <w:tblGrid>
        <w:gridCol w:w="2097"/>
        <w:gridCol w:w="991"/>
        <w:gridCol w:w="4520"/>
        <w:gridCol w:w="914"/>
      </w:tblGrid>
      <w:tr w:rsidR="00615CA8" w:rsidRPr="00615CA8" w:rsidTr="00615CA8">
        <w:trPr>
          <w:trHeight w:val="195"/>
          <w:jc w:val="right"/>
        </w:trPr>
        <w:tc>
          <w:tcPr>
            <w:tcW w:w="3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195" w:lineRule="atLeast"/>
              <w:jc w:val="both"/>
              <w:rPr>
                <w:rFonts w:ascii="Times New Roman" w:eastAsia="Times New Roman" w:hAnsi="Times New Roman" w:cs="Times New Roman"/>
              </w:rPr>
            </w:pPr>
            <w:r w:rsidRPr="00615CA8">
              <w:rPr>
                <w:rFonts w:ascii="Arial" w:eastAsia="Times New Roman" w:hAnsi="Arial" w:cs="Arial"/>
                <w:b/>
                <w:bCs/>
                <w:sz w:val="26"/>
                <w:szCs w:val="26"/>
                <w:rtl/>
              </w:rPr>
              <w:t>א  034697/04</w:t>
            </w:r>
          </w:p>
        </w:tc>
        <w:tc>
          <w:tcPr>
            <w:tcW w:w="544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195" w:lineRule="atLeast"/>
              <w:jc w:val="both"/>
              <w:rPr>
                <w:rFonts w:ascii="Times New Roman" w:eastAsia="Times New Roman" w:hAnsi="Times New Roman" w:cs="Times New Roman"/>
              </w:rPr>
            </w:pPr>
            <w:r w:rsidRPr="00615CA8">
              <w:rPr>
                <w:rFonts w:ascii="Arial" w:eastAsia="Times New Roman" w:hAnsi="Arial" w:cs="Arial"/>
                <w:b/>
                <w:bCs/>
                <w:sz w:val="26"/>
                <w:szCs w:val="26"/>
                <w:rtl/>
              </w:rPr>
              <w:t>בית משפט השלום תל אביב-יפו</w:t>
            </w:r>
          </w:p>
        </w:tc>
      </w:tr>
      <w:tr w:rsidR="00615CA8" w:rsidRPr="00615CA8" w:rsidTr="00615CA8">
        <w:trPr>
          <w:trHeight w:val="195"/>
          <w:jc w:val="right"/>
        </w:trPr>
        <w:tc>
          <w:tcPr>
            <w:tcW w:w="308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195" w:lineRule="atLeast"/>
              <w:jc w:val="both"/>
              <w:rPr>
                <w:rFonts w:ascii="Times New Roman" w:eastAsia="Times New Roman" w:hAnsi="Times New Roman" w:cs="Times New Roman"/>
              </w:rPr>
            </w:pPr>
            <w:r w:rsidRPr="00615CA8">
              <w:rPr>
                <w:rFonts w:ascii="Arial" w:eastAsia="Times New Roman" w:hAnsi="Arial" w:cs="Arial"/>
                <w:b/>
                <w:bCs/>
                <w:sz w:val="26"/>
                <w:szCs w:val="26"/>
                <w:rtl/>
              </w:rPr>
              <w:t>ותביעה שכנגד</w:t>
            </w:r>
          </w:p>
        </w:tc>
        <w:tc>
          <w:tcPr>
            <w:tcW w:w="0" w:type="auto"/>
            <w:gridSpan w:val="2"/>
            <w:vMerge/>
            <w:tcBorders>
              <w:top w:val="single" w:sz="4" w:space="0" w:color="auto"/>
              <w:left w:val="nil"/>
              <w:bottom w:val="single" w:sz="4" w:space="0" w:color="auto"/>
              <w:right w:val="single" w:sz="4" w:space="0" w:color="auto"/>
            </w:tcBorders>
            <w:vAlign w:val="center"/>
            <w:hideMark/>
          </w:tcPr>
          <w:p w:rsidR="00615CA8" w:rsidRPr="00615CA8" w:rsidRDefault="00615CA8" w:rsidP="00615CA8">
            <w:pPr>
              <w:bidi w:val="0"/>
              <w:spacing w:after="0" w:line="240" w:lineRule="auto"/>
              <w:rPr>
                <w:rFonts w:ascii="Times New Roman" w:eastAsia="Times New Roman" w:hAnsi="Times New Roman" w:cs="Times New Roman"/>
              </w:rPr>
            </w:pPr>
          </w:p>
        </w:tc>
      </w:tr>
      <w:tr w:rsidR="00615CA8" w:rsidRPr="00615CA8" w:rsidTr="00615CA8">
        <w:trPr>
          <w:trHeight w:val="286"/>
          <w:jc w:val="right"/>
        </w:trPr>
        <w:tc>
          <w:tcPr>
            <w:tcW w:w="209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b/>
                <w:bCs/>
                <w:sz w:val="26"/>
                <w:szCs w:val="26"/>
                <w:rtl/>
              </w:rPr>
              <w:t>07/04/2005</w:t>
            </w:r>
          </w:p>
        </w:tc>
        <w:tc>
          <w:tcPr>
            <w:tcW w:w="992" w:type="dxa"/>
            <w:tcBorders>
              <w:top w:val="nil"/>
              <w:left w:val="nil"/>
              <w:bottom w:val="single" w:sz="4" w:space="0" w:color="auto"/>
              <w:right w:val="single" w:sz="4" w:space="0" w:color="auto"/>
            </w:tcBorders>
            <w:tcMar>
              <w:top w:w="0" w:type="dxa"/>
              <w:left w:w="28" w:type="dxa"/>
              <w:bottom w:w="0" w:type="dxa"/>
              <w:right w:w="28"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b/>
                <w:bCs/>
                <w:sz w:val="26"/>
                <w:szCs w:val="26"/>
                <w:rtl/>
              </w:rPr>
              <w:t>תאריך:</w:t>
            </w:r>
          </w:p>
        </w:tc>
        <w:tc>
          <w:tcPr>
            <w:tcW w:w="4536" w:type="dxa"/>
            <w:tcBorders>
              <w:top w:val="nil"/>
              <w:left w:val="nil"/>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b/>
                <w:bCs/>
                <w:sz w:val="26"/>
                <w:szCs w:val="26"/>
                <w:rtl/>
              </w:rPr>
              <w:t>כב' השופטת תמר אברהמי</w:t>
            </w:r>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b/>
                <w:bCs/>
                <w:sz w:val="24"/>
                <w:szCs w:val="24"/>
                <w:rtl/>
              </w:rPr>
              <w:t>בפני:</w:t>
            </w:r>
          </w:p>
        </w:tc>
      </w:tr>
      <w:tr w:rsidR="00615CA8" w:rsidRPr="00615CA8" w:rsidTr="00615CA8">
        <w:trPr>
          <w:jc w:val="right"/>
        </w:trPr>
        <w:tc>
          <w:tcPr>
            <w:tcW w:w="2100" w:type="dxa"/>
            <w:tcBorders>
              <w:top w:val="nil"/>
              <w:left w:val="nil"/>
              <w:bottom w:val="nil"/>
              <w:right w:val="nil"/>
            </w:tcBorders>
            <w:vAlign w:val="center"/>
            <w:hideMark/>
          </w:tcPr>
          <w:p w:rsidR="00615CA8" w:rsidRPr="00615CA8" w:rsidRDefault="00615CA8" w:rsidP="00615CA8">
            <w:pPr>
              <w:bidi w:val="0"/>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vAlign w:val="center"/>
            <w:hideMark/>
          </w:tcPr>
          <w:p w:rsidR="00615CA8" w:rsidRPr="00615CA8" w:rsidRDefault="00615CA8" w:rsidP="00615CA8">
            <w:pPr>
              <w:bidi w:val="0"/>
              <w:spacing w:after="0" w:line="240" w:lineRule="auto"/>
              <w:rPr>
                <w:rFonts w:ascii="Times New Roman" w:eastAsia="Times New Roman" w:hAnsi="Times New Roman" w:cs="Times New Roman"/>
                <w:sz w:val="1"/>
                <w:szCs w:val="24"/>
              </w:rPr>
            </w:pPr>
          </w:p>
        </w:tc>
        <w:tc>
          <w:tcPr>
            <w:tcW w:w="4530" w:type="dxa"/>
            <w:tcBorders>
              <w:top w:val="nil"/>
              <w:left w:val="nil"/>
              <w:bottom w:val="nil"/>
              <w:right w:val="nil"/>
            </w:tcBorders>
            <w:vAlign w:val="center"/>
            <w:hideMark/>
          </w:tcPr>
          <w:p w:rsidR="00615CA8" w:rsidRPr="00615CA8" w:rsidRDefault="00615CA8" w:rsidP="00615CA8">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615CA8" w:rsidRPr="00615CA8" w:rsidRDefault="00615CA8" w:rsidP="00615CA8">
            <w:pPr>
              <w:bidi w:val="0"/>
              <w:spacing w:after="0" w:line="240" w:lineRule="auto"/>
              <w:rPr>
                <w:rFonts w:ascii="Times New Roman" w:eastAsia="Times New Roman" w:hAnsi="Times New Roman" w:cs="Times New Roman"/>
                <w:sz w:val="1"/>
                <w:szCs w:val="24"/>
              </w:rPr>
            </w:pPr>
          </w:p>
        </w:tc>
      </w:tr>
    </w:tbl>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b/>
          <w:bCs/>
          <w:color w:val="000000"/>
          <w:sz w:val="28"/>
          <w:szCs w:val="28"/>
          <w:rtl/>
        </w:rPr>
        <w:t> </w:t>
      </w:r>
    </w:p>
    <w:p w:rsidR="00615CA8" w:rsidRPr="00615CA8" w:rsidRDefault="00615CA8" w:rsidP="00615CA8">
      <w:pPr>
        <w:spacing w:after="0" w:line="240" w:lineRule="auto"/>
        <w:rPr>
          <w:rFonts w:ascii="Times New Roman" w:eastAsia="Times New Roman" w:hAnsi="Times New Roman" w:cs="Times New Roman"/>
          <w:color w:val="000000"/>
          <w:sz w:val="20"/>
          <w:szCs w:val="20"/>
          <w:rtl/>
        </w:rPr>
      </w:pPr>
      <w:r w:rsidRPr="00615CA8">
        <w:rPr>
          <w:rFonts w:ascii="Arial" w:eastAsia="Times New Roman" w:hAnsi="Arial" w:cs="Arial"/>
          <w:color w:val="000000"/>
          <w:sz w:val="24"/>
          <w:szCs w:val="24"/>
          <w:rtl/>
        </w:rPr>
        <w:t> </w:t>
      </w:r>
    </w:p>
    <w:tbl>
      <w:tblPr>
        <w:tblW w:w="8647" w:type="dxa"/>
        <w:jc w:val="right"/>
        <w:tblCellMar>
          <w:left w:w="0" w:type="dxa"/>
          <w:right w:w="0" w:type="dxa"/>
        </w:tblCellMar>
        <w:tblLook w:val="04A0" w:firstRow="1" w:lastRow="0" w:firstColumn="1" w:lastColumn="0" w:noHBand="0" w:noVBand="1"/>
      </w:tblPr>
      <w:tblGrid>
        <w:gridCol w:w="2407"/>
        <w:gridCol w:w="2779"/>
        <w:gridCol w:w="2039"/>
        <w:gridCol w:w="1362"/>
        <w:gridCol w:w="60"/>
      </w:tblGrid>
      <w:tr w:rsidR="00615CA8" w:rsidRPr="00615CA8" w:rsidTr="00615CA8">
        <w:trPr>
          <w:jc w:val="right"/>
        </w:trPr>
        <w:tc>
          <w:tcPr>
            <w:tcW w:w="2409"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bookmarkStart w:id="2" w:name="שם_א"/>
            <w:proofErr w:type="spellStart"/>
            <w:r w:rsidRPr="00615CA8">
              <w:rPr>
                <w:rFonts w:ascii="Arial" w:eastAsia="Times New Roman" w:hAnsi="Arial" w:cs="Arial"/>
                <w:b/>
                <w:bCs/>
                <w:sz w:val="24"/>
                <w:szCs w:val="24"/>
                <w:rtl/>
              </w:rPr>
              <w:t>גרסטנפלד</w:t>
            </w:r>
            <w:proofErr w:type="spellEnd"/>
            <w:r w:rsidRPr="00615CA8">
              <w:rPr>
                <w:rFonts w:ascii="Arial" w:eastAsia="Times New Roman" w:hAnsi="Arial" w:cs="Arial"/>
                <w:b/>
                <w:bCs/>
                <w:sz w:val="24"/>
                <w:szCs w:val="24"/>
                <w:rtl/>
              </w:rPr>
              <w:t xml:space="preserve"> ישראל</w:t>
            </w:r>
            <w:bookmarkEnd w:id="2"/>
          </w:p>
        </w:tc>
        <w:tc>
          <w:tcPr>
            <w:tcW w:w="1362"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b/>
                <w:bCs/>
                <w:sz w:val="24"/>
                <w:szCs w:val="24"/>
                <w:rtl/>
              </w:rPr>
              <w:t>בעניין:</w:t>
            </w:r>
          </w:p>
        </w:tc>
        <w:tc>
          <w:tcPr>
            <w:tcW w:w="60" w:type="dxa"/>
            <w:tcBorders>
              <w:top w:val="nil"/>
              <w:left w:val="nil"/>
              <w:bottom w:val="nil"/>
              <w:right w:val="nil"/>
            </w:tcBorders>
            <w:vAlign w:val="cente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r>
      <w:tr w:rsidR="00615CA8" w:rsidRPr="00615CA8" w:rsidTr="00615CA8">
        <w:trPr>
          <w:jc w:val="right"/>
        </w:trPr>
        <w:tc>
          <w:tcPr>
            <w:tcW w:w="2409" w:type="dxa"/>
            <w:tcMar>
              <w:top w:w="0" w:type="dxa"/>
              <w:left w:w="107" w:type="dxa"/>
              <w:bottom w:w="0" w:type="dxa"/>
              <w:right w:w="107" w:type="dxa"/>
            </w:tcMar>
            <w:hideMark/>
          </w:tcPr>
          <w:p w:rsidR="00615CA8" w:rsidRPr="00615CA8" w:rsidRDefault="00615CA8" w:rsidP="00615CA8">
            <w:pPr>
              <w:spacing w:after="0" w:line="330" w:lineRule="atLeast"/>
              <w:jc w:val="both"/>
              <w:outlineLvl w:val="3"/>
              <w:rPr>
                <w:rFonts w:ascii="Times New Roman" w:eastAsia="Times New Roman" w:hAnsi="Times New Roman" w:cs="Times New Roman"/>
                <w:b/>
                <w:bCs/>
                <w:u w:val="single"/>
              </w:rPr>
            </w:pPr>
            <w:bookmarkStart w:id="3" w:name="כינוי_א"/>
            <w:r w:rsidRPr="00615CA8">
              <w:rPr>
                <w:rFonts w:ascii="Arial" w:eastAsia="Times New Roman" w:hAnsi="Arial" w:cs="Arial"/>
                <w:b/>
                <w:bCs/>
                <w:sz w:val="24"/>
                <w:szCs w:val="24"/>
                <w:u w:val="single"/>
                <w:rtl/>
              </w:rPr>
              <w:t>התובע</w:t>
            </w:r>
            <w:bookmarkEnd w:id="3"/>
          </w:p>
        </w:tc>
        <w:tc>
          <w:tcPr>
            <w:tcW w:w="2780"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sz w:val="24"/>
                <w:szCs w:val="24"/>
                <w:rtl/>
              </w:rPr>
              <w:t>בר משה</w:t>
            </w:r>
          </w:p>
        </w:tc>
        <w:tc>
          <w:tcPr>
            <w:tcW w:w="2040"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sz w:val="24"/>
                <w:szCs w:val="24"/>
                <w:rtl/>
              </w:rPr>
              <w:t>ע"י ב"כ עו"ד </w:t>
            </w:r>
          </w:p>
        </w:tc>
        <w:tc>
          <w:tcPr>
            <w:tcW w:w="1362"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r>
      <w:tr w:rsidR="00615CA8" w:rsidRPr="00615CA8" w:rsidTr="00615CA8">
        <w:trPr>
          <w:jc w:val="right"/>
        </w:trPr>
        <w:tc>
          <w:tcPr>
            <w:tcW w:w="2409"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615CA8" w:rsidRPr="00615CA8" w:rsidRDefault="00615CA8" w:rsidP="00615CA8">
            <w:pPr>
              <w:spacing w:after="0" w:line="330" w:lineRule="atLeast"/>
              <w:jc w:val="center"/>
              <w:rPr>
                <w:rFonts w:ascii="Times New Roman" w:eastAsia="Times New Roman" w:hAnsi="Times New Roman" w:cs="Times New Roman"/>
              </w:rPr>
            </w:pPr>
            <w:r w:rsidRPr="00615CA8">
              <w:rPr>
                <w:rFonts w:ascii="Arial" w:eastAsia="Times New Roman" w:hAnsi="Arial" w:cs="Arial"/>
                <w:b/>
                <w:bCs/>
                <w:sz w:val="24"/>
                <w:szCs w:val="24"/>
                <w:rtl/>
              </w:rPr>
              <w:t>נ  ג  ד</w:t>
            </w:r>
          </w:p>
        </w:tc>
        <w:tc>
          <w:tcPr>
            <w:tcW w:w="1362"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r>
      <w:tr w:rsidR="00615CA8" w:rsidRPr="00615CA8" w:rsidTr="00615CA8">
        <w:trPr>
          <w:jc w:val="right"/>
        </w:trPr>
        <w:tc>
          <w:tcPr>
            <w:tcW w:w="2409"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4820" w:type="dxa"/>
            <w:gridSpan w:val="2"/>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bookmarkStart w:id="4" w:name="שם_ב"/>
            <w:r w:rsidRPr="00615CA8">
              <w:rPr>
                <w:rFonts w:ascii="Arial" w:eastAsia="Times New Roman" w:hAnsi="Arial" w:cs="Arial"/>
                <w:b/>
                <w:bCs/>
                <w:sz w:val="24"/>
                <w:szCs w:val="24"/>
                <w:rtl/>
              </w:rPr>
              <w:t xml:space="preserve">1 . </w:t>
            </w:r>
            <w:proofErr w:type="spellStart"/>
            <w:r w:rsidRPr="00615CA8">
              <w:rPr>
                <w:rFonts w:ascii="Arial" w:eastAsia="Times New Roman" w:hAnsi="Arial" w:cs="Arial"/>
                <w:b/>
                <w:bCs/>
                <w:sz w:val="24"/>
                <w:szCs w:val="24"/>
                <w:rtl/>
              </w:rPr>
              <w:t>נוסבכר</w:t>
            </w:r>
            <w:proofErr w:type="spellEnd"/>
            <w:r w:rsidRPr="00615CA8">
              <w:rPr>
                <w:rFonts w:ascii="Arial" w:eastAsia="Times New Roman" w:hAnsi="Arial" w:cs="Arial"/>
                <w:b/>
                <w:bCs/>
                <w:sz w:val="24"/>
                <w:szCs w:val="24"/>
                <w:rtl/>
              </w:rPr>
              <w:t xml:space="preserve"> ליסה</w:t>
            </w:r>
            <w:bookmarkEnd w:id="4"/>
          </w:p>
          <w:p w:rsidR="00615CA8" w:rsidRPr="00615CA8" w:rsidRDefault="00615CA8" w:rsidP="00615CA8">
            <w:pPr>
              <w:spacing w:after="0" w:line="330" w:lineRule="atLeast"/>
              <w:jc w:val="both"/>
              <w:rPr>
                <w:rFonts w:ascii="Times New Roman" w:eastAsia="Times New Roman" w:hAnsi="Times New Roman" w:cs="Times New Roman"/>
                <w:rtl/>
              </w:rPr>
            </w:pPr>
            <w:r w:rsidRPr="00615CA8">
              <w:rPr>
                <w:rFonts w:ascii="Arial" w:eastAsia="Times New Roman" w:hAnsi="Arial" w:cs="Arial"/>
                <w:b/>
                <w:bCs/>
                <w:sz w:val="24"/>
                <w:szCs w:val="24"/>
                <w:rtl/>
              </w:rPr>
              <w:t xml:space="preserve">2 . </w:t>
            </w:r>
            <w:proofErr w:type="spellStart"/>
            <w:r w:rsidRPr="00615CA8">
              <w:rPr>
                <w:rFonts w:ascii="Arial" w:eastAsia="Times New Roman" w:hAnsi="Arial" w:cs="Arial"/>
                <w:b/>
                <w:bCs/>
                <w:sz w:val="24"/>
                <w:szCs w:val="24"/>
                <w:rtl/>
              </w:rPr>
              <w:t>נוסבכר</w:t>
            </w:r>
            <w:proofErr w:type="spellEnd"/>
            <w:r w:rsidRPr="00615CA8">
              <w:rPr>
                <w:rFonts w:ascii="Arial" w:eastAsia="Times New Roman" w:hAnsi="Arial" w:cs="Arial"/>
                <w:b/>
                <w:bCs/>
                <w:sz w:val="24"/>
                <w:szCs w:val="24"/>
                <w:rtl/>
              </w:rPr>
              <w:t xml:space="preserve"> יוסף</w:t>
            </w:r>
          </w:p>
          <w:p w:rsidR="00615CA8" w:rsidRPr="00615CA8" w:rsidRDefault="00615CA8" w:rsidP="00615CA8">
            <w:pPr>
              <w:spacing w:after="0" w:line="330" w:lineRule="atLeast"/>
              <w:jc w:val="both"/>
              <w:rPr>
                <w:rFonts w:ascii="Times New Roman" w:eastAsia="Times New Roman" w:hAnsi="Times New Roman" w:cs="Times New Roman"/>
                <w:rtl/>
              </w:rPr>
            </w:pPr>
            <w:r w:rsidRPr="00615CA8">
              <w:rPr>
                <w:rFonts w:ascii="Arial" w:eastAsia="Times New Roman" w:hAnsi="Arial" w:cs="Arial"/>
                <w:sz w:val="24"/>
                <w:szCs w:val="24"/>
                <w:rtl/>
              </w:rPr>
              <w:t>ע"י ב"כ עו"ד             חממי</w:t>
            </w:r>
          </w:p>
          <w:p w:rsidR="00615CA8" w:rsidRPr="00615CA8" w:rsidRDefault="00615CA8" w:rsidP="00615CA8">
            <w:pPr>
              <w:spacing w:after="0" w:line="330" w:lineRule="atLeast"/>
              <w:jc w:val="both"/>
              <w:rPr>
                <w:rFonts w:ascii="Times New Roman" w:eastAsia="Times New Roman" w:hAnsi="Times New Roman" w:cs="Times New Roman"/>
                <w:rtl/>
              </w:rPr>
            </w:pPr>
            <w:r w:rsidRPr="00615CA8">
              <w:rPr>
                <w:rFonts w:ascii="Arial" w:eastAsia="Times New Roman" w:hAnsi="Arial" w:cs="Arial"/>
                <w:b/>
                <w:bCs/>
                <w:sz w:val="24"/>
                <w:szCs w:val="24"/>
                <w:rtl/>
              </w:rPr>
              <w:t>3. עיריית בית שמש [נמחקה]</w:t>
            </w:r>
          </w:p>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Arial" w:eastAsia="Times New Roman" w:hAnsi="Arial" w:cs="Arial"/>
                <w:sz w:val="24"/>
                <w:szCs w:val="24"/>
                <w:rtl/>
              </w:rPr>
              <w:t>ע"י ב"כ עו"ד             </w:t>
            </w:r>
            <w:proofErr w:type="spellStart"/>
            <w:r w:rsidRPr="00615CA8">
              <w:rPr>
                <w:rFonts w:ascii="Arial" w:eastAsia="Times New Roman" w:hAnsi="Arial" w:cs="Arial"/>
                <w:sz w:val="24"/>
                <w:szCs w:val="24"/>
                <w:rtl/>
              </w:rPr>
              <w:t>רוטמן</w:t>
            </w:r>
            <w:proofErr w:type="spellEnd"/>
          </w:p>
        </w:tc>
        <w:tc>
          <w:tcPr>
            <w:tcW w:w="1362"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r>
      <w:tr w:rsidR="00615CA8" w:rsidRPr="00615CA8" w:rsidTr="00615CA8">
        <w:trPr>
          <w:jc w:val="right"/>
        </w:trPr>
        <w:tc>
          <w:tcPr>
            <w:tcW w:w="2409"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bookmarkStart w:id="5" w:name="כינוי_ב"/>
            <w:r w:rsidRPr="00615CA8">
              <w:rPr>
                <w:rFonts w:ascii="Arial" w:eastAsia="Times New Roman" w:hAnsi="Arial" w:cs="Arial"/>
                <w:b/>
                <w:bCs/>
                <w:sz w:val="24"/>
                <w:szCs w:val="24"/>
                <w:u w:val="single"/>
                <w:rtl/>
              </w:rPr>
              <w:t>הנתבעים</w:t>
            </w:r>
            <w:bookmarkEnd w:id="5"/>
          </w:p>
        </w:tc>
        <w:tc>
          <w:tcPr>
            <w:tcW w:w="2780"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2040"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1362" w:type="dxa"/>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c>
          <w:tcPr>
            <w:tcW w:w="60" w:type="dxa"/>
            <w:tcBorders>
              <w:top w:val="nil"/>
              <w:left w:val="nil"/>
              <w:bottom w:val="nil"/>
              <w:right w:val="nil"/>
            </w:tcBorders>
            <w:vAlign w:val="center"/>
            <w:hideMark/>
          </w:tcPr>
          <w:p w:rsidR="00615CA8" w:rsidRPr="00615CA8" w:rsidRDefault="00615CA8" w:rsidP="00615CA8">
            <w:pPr>
              <w:spacing w:after="0" w:line="330" w:lineRule="atLeast"/>
              <w:jc w:val="both"/>
              <w:rPr>
                <w:rFonts w:ascii="Times New Roman" w:eastAsia="Times New Roman" w:hAnsi="Times New Roman" w:cs="Times New Roman"/>
              </w:rPr>
            </w:pPr>
            <w:r w:rsidRPr="00615CA8">
              <w:rPr>
                <w:rFonts w:ascii="Times New Roman" w:eastAsia="Times New Roman" w:hAnsi="Times New Roman" w:cs="Times New Roman"/>
                <w:rtl/>
              </w:rPr>
              <w:t> </w:t>
            </w:r>
          </w:p>
        </w:tc>
      </w:tr>
      <w:tr w:rsidR="00615CA8" w:rsidRPr="00615CA8" w:rsidTr="00615CA8">
        <w:trPr>
          <w:trHeight w:val="284"/>
          <w:jc w:val="right"/>
        </w:trPr>
        <w:tc>
          <w:tcPr>
            <w:tcW w:w="8647" w:type="dxa"/>
            <w:gridSpan w:val="5"/>
            <w:tcMar>
              <w:top w:w="0" w:type="dxa"/>
              <w:left w:w="107" w:type="dxa"/>
              <w:bottom w:w="0" w:type="dxa"/>
              <w:right w:w="107" w:type="dxa"/>
            </w:tcMar>
            <w:hideMark/>
          </w:tcPr>
          <w:p w:rsidR="00615CA8" w:rsidRPr="00615CA8" w:rsidRDefault="00615CA8" w:rsidP="00615CA8">
            <w:pPr>
              <w:spacing w:after="0" w:line="330" w:lineRule="atLeast"/>
              <w:jc w:val="center"/>
              <w:rPr>
                <w:rFonts w:ascii="Times New Roman" w:eastAsia="Times New Roman" w:hAnsi="Times New Roman" w:cs="Times New Roman"/>
                <w:b/>
                <w:bCs/>
              </w:rPr>
            </w:pPr>
            <w:r w:rsidRPr="00615CA8">
              <w:rPr>
                <w:rFonts w:ascii="Arial" w:eastAsia="Times New Roman" w:hAnsi="Arial" w:cs="Arial"/>
                <w:b/>
                <w:bCs/>
                <w:sz w:val="24"/>
                <w:szCs w:val="24"/>
                <w:rtl/>
              </w:rPr>
              <w:t>נגד</w:t>
            </w:r>
          </w:p>
        </w:tc>
      </w:tr>
      <w:tr w:rsidR="00615CA8" w:rsidRPr="00615CA8" w:rsidTr="00615CA8">
        <w:trPr>
          <w:trHeight w:val="185"/>
          <w:jc w:val="right"/>
        </w:trPr>
        <w:tc>
          <w:tcPr>
            <w:tcW w:w="2409" w:type="dxa"/>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615CA8" w:rsidRPr="00615CA8" w:rsidRDefault="00615CA8" w:rsidP="00615CA8">
            <w:pPr>
              <w:spacing w:after="0" w:line="330" w:lineRule="atLeast"/>
              <w:jc w:val="both"/>
              <w:rPr>
                <w:rFonts w:ascii="Times New Roman" w:eastAsia="Times New Roman" w:hAnsi="Times New Roman" w:cs="Times New Roman"/>
                <w:b/>
                <w:bCs/>
              </w:rPr>
            </w:pPr>
            <w:r w:rsidRPr="00615CA8">
              <w:rPr>
                <w:rFonts w:ascii="Arial" w:eastAsia="Times New Roman" w:hAnsi="Arial" w:cs="Arial"/>
                <w:b/>
                <w:bCs/>
                <w:color w:val="000000"/>
                <w:sz w:val="24"/>
                <w:szCs w:val="24"/>
                <w:rtl/>
              </w:rPr>
              <w:t xml:space="preserve">1. </w:t>
            </w:r>
            <w:proofErr w:type="spellStart"/>
            <w:r w:rsidRPr="00615CA8">
              <w:rPr>
                <w:rFonts w:ascii="Arial" w:eastAsia="Times New Roman" w:hAnsi="Arial" w:cs="Arial"/>
                <w:b/>
                <w:bCs/>
                <w:color w:val="000000"/>
                <w:sz w:val="24"/>
                <w:szCs w:val="24"/>
                <w:rtl/>
              </w:rPr>
              <w:t>גרסטנפלד</w:t>
            </w:r>
            <w:proofErr w:type="spellEnd"/>
            <w:r w:rsidRPr="00615CA8">
              <w:rPr>
                <w:rFonts w:ascii="Arial" w:eastAsia="Times New Roman" w:hAnsi="Arial" w:cs="Arial"/>
                <w:b/>
                <w:bCs/>
                <w:color w:val="000000"/>
                <w:sz w:val="24"/>
                <w:szCs w:val="24"/>
                <w:rtl/>
              </w:rPr>
              <w:t xml:space="preserve"> דינה</w:t>
            </w:r>
          </w:p>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Arial" w:eastAsia="Times New Roman" w:hAnsi="Arial" w:cs="Arial"/>
                <w:b/>
                <w:bCs/>
                <w:color w:val="000000"/>
                <w:sz w:val="24"/>
                <w:szCs w:val="24"/>
                <w:rtl/>
              </w:rPr>
              <w:t xml:space="preserve">2. </w:t>
            </w:r>
            <w:proofErr w:type="spellStart"/>
            <w:r w:rsidRPr="00615CA8">
              <w:rPr>
                <w:rFonts w:ascii="Arial" w:eastAsia="Times New Roman" w:hAnsi="Arial" w:cs="Arial"/>
                <w:b/>
                <w:bCs/>
                <w:color w:val="000000"/>
                <w:sz w:val="24"/>
                <w:szCs w:val="24"/>
                <w:rtl/>
              </w:rPr>
              <w:t>גרסטנפלד</w:t>
            </w:r>
            <w:proofErr w:type="spellEnd"/>
            <w:r w:rsidRPr="00615CA8">
              <w:rPr>
                <w:rFonts w:ascii="Arial" w:eastAsia="Times New Roman" w:hAnsi="Arial" w:cs="Arial"/>
                <w:b/>
                <w:bCs/>
                <w:color w:val="000000"/>
                <w:sz w:val="24"/>
                <w:szCs w:val="24"/>
                <w:rtl/>
              </w:rPr>
              <w:t xml:space="preserve"> ישראל</w:t>
            </w:r>
          </w:p>
        </w:tc>
        <w:tc>
          <w:tcPr>
            <w:tcW w:w="1418" w:type="dxa"/>
            <w:gridSpan w:val="2"/>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Times New Roman" w:eastAsia="Times New Roman" w:hAnsi="Times New Roman" w:cs="Times New Roman"/>
                <w:b/>
                <w:bCs/>
                <w:rtl/>
              </w:rPr>
              <w:t> </w:t>
            </w:r>
          </w:p>
        </w:tc>
      </w:tr>
      <w:tr w:rsidR="00615CA8" w:rsidRPr="00615CA8" w:rsidTr="00615CA8">
        <w:trPr>
          <w:trHeight w:val="185"/>
          <w:jc w:val="right"/>
        </w:trPr>
        <w:tc>
          <w:tcPr>
            <w:tcW w:w="2409" w:type="dxa"/>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Arial" w:eastAsia="Times New Roman" w:hAnsi="Arial" w:cs="Arial"/>
                <w:b/>
                <w:bCs/>
                <w:color w:val="000000"/>
                <w:sz w:val="24"/>
                <w:szCs w:val="24"/>
                <w:u w:val="single"/>
                <w:rtl/>
              </w:rPr>
              <w:t>נתבעים שכנגד</w:t>
            </w:r>
          </w:p>
        </w:tc>
        <w:tc>
          <w:tcPr>
            <w:tcW w:w="2780" w:type="dxa"/>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Arial" w:eastAsia="Times New Roman" w:hAnsi="Arial" w:cs="Arial"/>
                <w:sz w:val="24"/>
                <w:szCs w:val="24"/>
                <w:rtl/>
              </w:rPr>
              <w:t>סביון</w:t>
            </w:r>
          </w:p>
        </w:tc>
        <w:tc>
          <w:tcPr>
            <w:tcW w:w="2040" w:type="dxa"/>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Arial" w:eastAsia="Times New Roman" w:hAnsi="Arial" w:cs="Arial"/>
                <w:color w:val="000000"/>
                <w:sz w:val="24"/>
                <w:szCs w:val="24"/>
                <w:rtl/>
              </w:rPr>
              <w:t>ע"י ב"כ עו"ד</w:t>
            </w:r>
          </w:p>
        </w:tc>
        <w:tc>
          <w:tcPr>
            <w:tcW w:w="1418" w:type="dxa"/>
            <w:gridSpan w:val="2"/>
            <w:tcMar>
              <w:top w:w="0" w:type="dxa"/>
              <w:left w:w="107" w:type="dxa"/>
              <w:bottom w:w="0" w:type="dxa"/>
              <w:right w:w="107" w:type="dxa"/>
            </w:tcMar>
            <w:hideMark/>
          </w:tcPr>
          <w:p w:rsidR="00615CA8" w:rsidRPr="00615CA8" w:rsidRDefault="00615CA8" w:rsidP="00615CA8">
            <w:pPr>
              <w:spacing w:after="0" w:line="185" w:lineRule="atLeast"/>
              <w:jc w:val="both"/>
              <w:rPr>
                <w:rFonts w:ascii="Times New Roman" w:eastAsia="Times New Roman" w:hAnsi="Times New Roman" w:cs="Times New Roman"/>
                <w:b/>
                <w:bCs/>
              </w:rPr>
            </w:pPr>
            <w:r w:rsidRPr="00615CA8">
              <w:rPr>
                <w:rFonts w:ascii="Times New Roman" w:eastAsia="Times New Roman" w:hAnsi="Times New Roman" w:cs="Times New Roman"/>
                <w:b/>
                <w:bCs/>
                <w:rtl/>
              </w:rPr>
              <w:t> </w:t>
            </w:r>
          </w:p>
        </w:tc>
      </w:tr>
    </w:tbl>
    <w:p w:rsidR="00615CA8" w:rsidRPr="00615CA8" w:rsidRDefault="00615CA8" w:rsidP="00615CA8">
      <w:pPr>
        <w:spacing w:after="0" w:line="240" w:lineRule="auto"/>
        <w:rPr>
          <w:rFonts w:ascii="Times New Roman" w:eastAsia="Times New Roman" w:hAnsi="Times New Roman" w:cs="Times New Roman"/>
          <w:color w:val="000000"/>
          <w:sz w:val="20"/>
          <w:szCs w:val="20"/>
          <w:rtl/>
        </w:rPr>
      </w:pPr>
      <w:r w:rsidRPr="00615CA8">
        <w:rPr>
          <w:rFonts w:ascii="Arial" w:eastAsia="Times New Roman" w:hAnsi="Arial" w:cs="Arial"/>
          <w:color w:val="000000"/>
          <w:sz w:val="24"/>
          <w:szCs w:val="24"/>
          <w:rtl/>
        </w:rPr>
        <w:t> </w:t>
      </w:r>
    </w:p>
    <w:p w:rsidR="00615CA8" w:rsidRPr="00615CA8" w:rsidRDefault="00615CA8" w:rsidP="00615CA8">
      <w:pPr>
        <w:spacing w:after="0" w:line="20" w:lineRule="atLeast"/>
        <w:rPr>
          <w:rFonts w:ascii="Times New Roman" w:eastAsia="Times New Roman" w:hAnsi="Times New Roman" w:cs="Times New Roman"/>
          <w:color w:val="000000"/>
          <w:sz w:val="20"/>
          <w:szCs w:val="20"/>
          <w:rtl/>
        </w:rPr>
      </w:pPr>
      <w:r w:rsidRPr="00615CA8">
        <w:rPr>
          <w:rFonts w:ascii="Arial" w:eastAsia="Times New Roman" w:hAnsi="Arial" w:cs="Arial"/>
          <w:color w:val="000000"/>
          <w:sz w:val="24"/>
          <w:szCs w:val="24"/>
          <w:rtl/>
        </w:rPr>
        <w:t> </w:t>
      </w:r>
    </w:p>
    <w:p w:rsidR="00615CA8" w:rsidRPr="00615CA8" w:rsidRDefault="00615CA8" w:rsidP="00615CA8">
      <w:pPr>
        <w:spacing w:after="0" w:line="360" w:lineRule="atLeast"/>
        <w:jc w:val="center"/>
        <w:outlineLvl w:val="4"/>
        <w:rPr>
          <w:rFonts w:ascii="Arial" w:eastAsia="Times New Roman" w:hAnsi="Arial" w:cs="Arial"/>
          <w:b/>
          <w:bCs/>
          <w:color w:val="000000"/>
          <w:sz w:val="24"/>
          <w:szCs w:val="24"/>
          <w:u w:val="single"/>
          <w:rtl/>
        </w:rPr>
      </w:pPr>
      <w:bookmarkStart w:id="6" w:name="סוג_מסמך"/>
      <w:bookmarkEnd w:id="6"/>
      <w:r w:rsidRPr="00615CA8">
        <w:rPr>
          <w:rFonts w:ascii="Arial" w:eastAsia="Times New Roman" w:hAnsi="Arial" w:cs="Arial" w:hint="cs"/>
          <w:b/>
          <w:bCs/>
          <w:color w:val="000000"/>
          <w:sz w:val="24"/>
          <w:szCs w:val="24"/>
          <w:u w:val="single"/>
          <w:rtl/>
        </w:rPr>
        <w:t> </w:t>
      </w:r>
    </w:p>
    <w:p w:rsidR="00615CA8" w:rsidRPr="00615CA8" w:rsidRDefault="00615CA8" w:rsidP="00615CA8">
      <w:pPr>
        <w:spacing w:after="0" w:line="360" w:lineRule="atLeast"/>
        <w:jc w:val="center"/>
        <w:outlineLvl w:val="4"/>
        <w:rPr>
          <w:rFonts w:ascii="Arial" w:eastAsia="Times New Roman" w:hAnsi="Arial" w:cs="Arial"/>
          <w:b/>
          <w:bCs/>
          <w:color w:val="000000"/>
          <w:sz w:val="24"/>
          <w:szCs w:val="24"/>
          <w:u w:val="single"/>
          <w:rtl/>
        </w:rPr>
      </w:pPr>
      <w:r w:rsidRPr="00615CA8">
        <w:rPr>
          <w:rFonts w:ascii="Arial" w:eastAsia="Times New Roman" w:hAnsi="Arial" w:cs="Arial" w:hint="cs"/>
          <w:b/>
          <w:bCs/>
          <w:color w:val="000000"/>
          <w:sz w:val="26"/>
          <w:szCs w:val="26"/>
          <w:u w:val="single"/>
          <w:rtl/>
        </w:rPr>
        <w:t>פסק דין</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1.         לפני תביעה ותביעה שכנגד בעניין נזקי תאונה שהתרחשה ביום 1.9.03 ברמת בית שמש.</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2          בתאונה היו מעורבים שני כלי רכב: רכב מסוג סובארו, אשר בבעלות התובע ובו נהגה רעייתו ורכב מסוג מאזדה, בו נהגה הנתבעת 1.</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3.         התאונה התרחשה בצומת הרחובות הירדן ונחל רפאים.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נסע ישר ברחוב הירדן </w:t>
      </w:r>
      <w:proofErr w:type="spellStart"/>
      <w:r w:rsidRPr="00615CA8">
        <w:rPr>
          <w:rFonts w:ascii="Arial" w:eastAsia="Times New Roman" w:hAnsi="Arial" w:cs="Arial"/>
          <w:color w:val="000000"/>
          <w:sz w:val="24"/>
          <w:szCs w:val="24"/>
          <w:rtl/>
        </w:rPr>
        <w:t>והמאזדה</w:t>
      </w:r>
      <w:proofErr w:type="spellEnd"/>
      <w:r w:rsidRPr="00615CA8">
        <w:rPr>
          <w:rFonts w:ascii="Arial" w:eastAsia="Times New Roman" w:hAnsi="Arial" w:cs="Arial"/>
          <w:color w:val="000000"/>
          <w:sz w:val="24"/>
          <w:szCs w:val="24"/>
          <w:rtl/>
        </w:rPr>
        <w:t xml:space="preserve">, שנסעה ברחוב נחל רפאים, התעתדה לפנות שמאלה לרחוב הירדן.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פגע במאזדה במהלך הפנייה.</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4.         התובע טוען </w:t>
      </w:r>
      <w:proofErr w:type="spellStart"/>
      <w:r w:rsidRPr="00615CA8">
        <w:rPr>
          <w:rFonts w:ascii="Arial" w:eastAsia="Times New Roman" w:hAnsi="Arial" w:cs="Arial"/>
          <w:color w:val="000000"/>
          <w:sz w:val="24"/>
          <w:szCs w:val="24"/>
          <w:rtl/>
        </w:rPr>
        <w:t>שהמאזדה</w:t>
      </w:r>
      <w:proofErr w:type="spellEnd"/>
      <w:r w:rsidRPr="00615CA8">
        <w:rPr>
          <w:rFonts w:ascii="Arial" w:eastAsia="Times New Roman" w:hAnsi="Arial" w:cs="Arial"/>
          <w:color w:val="000000"/>
          <w:sz w:val="24"/>
          <w:szCs w:val="24"/>
          <w:rtl/>
        </w:rPr>
        <w:t xml:space="preserve"> עמדה בתחילה עם נטייה ימינה, כאילו עומד הרכב לפנות לצד ימין ואז לפתע שינתה את כיוון נסיעתה, התפרצה לצומת ופנתה שמאלה.</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5.         הנתבעים טוענים כי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עצרה עצירה מוחלטת והתקדמה באיטיות לכיוון הצומת מתוך כוונה לפנות שמאלה וכי כאשר החלה לחצות את הצומת באיטיות, </w:t>
      </w:r>
      <w:r w:rsidRPr="00615CA8">
        <w:rPr>
          <w:rFonts w:ascii="Arial" w:eastAsia="Times New Roman" w:hAnsi="Arial" w:cs="Arial"/>
          <w:color w:val="000000"/>
          <w:sz w:val="24"/>
          <w:szCs w:val="24"/>
          <w:rtl/>
        </w:rPr>
        <w:lastRenderedPageBreak/>
        <w:t xml:space="preserve">הגיח לפתע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במהירות מצד שמאל ופגע בה. לשיטת הנתבעים, לנתבעת לא הייתה אפשרות למנוע את הפגיעה.</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6.         בזמן האירוע לא היה בצומת תמרור </w:t>
      </w:r>
      <w:proofErr w:type="spellStart"/>
      <w:r w:rsidRPr="00615CA8">
        <w:rPr>
          <w:rFonts w:ascii="Arial" w:eastAsia="Times New Roman" w:hAnsi="Arial" w:cs="Arial"/>
          <w:color w:val="000000"/>
          <w:sz w:val="24"/>
          <w:szCs w:val="24"/>
          <w:rtl/>
        </w:rPr>
        <w:t>בענין</w:t>
      </w:r>
      <w:proofErr w:type="spellEnd"/>
      <w:r w:rsidRPr="00615CA8">
        <w:rPr>
          <w:rFonts w:ascii="Arial" w:eastAsia="Times New Roman" w:hAnsi="Arial" w:cs="Arial"/>
          <w:color w:val="000000"/>
          <w:sz w:val="24"/>
          <w:szCs w:val="24"/>
          <w:rtl/>
        </w:rPr>
        <w:t xml:space="preserve"> זכות קדימה. כיום קיים שם כנראה תמרור הנותן זכות קדימה לרכבים שברחוב הירדן. בשלב מסוים, צורפה עיריית בית שמש כנתבעת נוספת והיא נמחקה בהסכמה בתום הדיון, לאחר שהתברר כי בכל מקרה סברה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שזכות הקדימה נתונה לרכבים ברחוב הירדן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והתנהלה מבחינתה בהתאמה. משכך, לא הייתה משמעות להעדר התמרור ואין קשר סיבתי בינו לבין נזקי התאונה.</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7.         שתי הנהגות העידו לפני. כמו כן, הוגשו לתיק בית המשפט, בין השאר, עדויות מתיק המשטרה, תמונות נזק ותמונות ממקום האירוע.</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הצדדים הסמיכו את בית המשפט לפסוק לפי סעיף 79א לחוק בתי המשפט [נוסח משולב], תשמ"ד – 1984.</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8.         מתמונות האזור עולה שבסמוך לצומת קיימים עיקול, עליה ומדרון, אשר מצמצמים את שדה הראייה של שני הצדדים: הן של רכבים המגיעים מרחוב הירדן והן של רכבים היוצאים מרחוב נחל רפאים.</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9.         לדעת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זכות הקדימה הייתה נתונה לסובארו. מנגד, נהגת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העידה כי הבחינה במאזדה מגיעה מימין ונתנה למאזדה זכות קדימה (עמ' 3 ש' 11). מבחינתה, מתן זכות הקדימה היה מעבר לנתיב השמאלי (שם ועמ' 6 ש' 2), שכן היא סברה </w:t>
      </w:r>
      <w:proofErr w:type="spellStart"/>
      <w:r w:rsidRPr="00615CA8">
        <w:rPr>
          <w:rFonts w:ascii="Arial" w:eastAsia="Times New Roman" w:hAnsi="Arial" w:cs="Arial"/>
          <w:color w:val="000000"/>
          <w:sz w:val="24"/>
          <w:szCs w:val="24"/>
          <w:rtl/>
        </w:rPr>
        <w:t>שהמאזדה</w:t>
      </w:r>
      <w:proofErr w:type="spellEnd"/>
      <w:r w:rsidRPr="00615CA8">
        <w:rPr>
          <w:rFonts w:ascii="Arial" w:eastAsia="Times New Roman" w:hAnsi="Arial" w:cs="Arial"/>
          <w:color w:val="000000"/>
          <w:sz w:val="24"/>
          <w:szCs w:val="24"/>
          <w:rtl/>
        </w:rPr>
        <w:t xml:space="preserve"> עומדת לפנות ימינה לרחוב הירדן (ולא שמאלה).</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10.       נהגת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לא ידעה למעשה לומר האם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עצרה לפני שנכנסה לצומת.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טענה באופן פוזיטיבי ונחרץ כי עשתה כן ונתנה זכות קדימה לסובארו.</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11.       יחד עם זאת אישרה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כי התקדמה לתוך הצומת, לאחר קו העצור, כדי להגדיל את שדה הראייה שלה ולמעשה אישרה כי לאחר שלא ראתה כלי רכב, נכנסה לצומת כדי להתחיל לבצע את הפניה (עמ' 9 ש' 12-16).</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לדעת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התרחשה התאונה בשל מהירות נסיעת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ותנאי הדרך.</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12.       לאור תנאי הדרך, ועמדתה של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עצמה, היה על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לתת זכות קדימה לסובארו. התאונה התרחשה בנתיב הנסיעה עצמו ואף גרמה לסובארו לעלות על אי תנועה מצד שמאל. נתון זה מלמד על כניסה ממשית של נהגת </w:t>
      </w:r>
      <w:proofErr w:type="spellStart"/>
      <w:r w:rsidRPr="00615CA8">
        <w:rPr>
          <w:rFonts w:ascii="Arial" w:eastAsia="Times New Roman" w:hAnsi="Arial" w:cs="Arial"/>
          <w:color w:val="000000"/>
          <w:sz w:val="24"/>
          <w:szCs w:val="24"/>
          <w:rtl/>
        </w:rPr>
        <w:t>המאזדה</w:t>
      </w:r>
      <w:proofErr w:type="spellEnd"/>
      <w:r w:rsidRPr="00615CA8">
        <w:rPr>
          <w:rFonts w:ascii="Arial" w:eastAsia="Times New Roman" w:hAnsi="Arial" w:cs="Arial"/>
          <w:color w:val="000000"/>
          <w:sz w:val="24"/>
          <w:szCs w:val="24"/>
          <w:rtl/>
        </w:rPr>
        <w:t xml:space="preserve"> לתוך הצומת. הנהגת כבר החלה בביצוע הפנייה שמאלה ועשתה כן באופן איטי, אף שיכולה הייתה להתקדם עד לאי התנועה שבין המסלולים כדי להמתין ולבדוק האם מגיעים רכבים גם מצד ימין.</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lastRenderedPageBreak/>
        <w:t xml:space="preserve">13.       במקביל, נוכח עוצמת הפגיעות כפי שהן נחזות בין השאר מתמונות הנזק, אני סבורה שנהגת </w:t>
      </w:r>
      <w:proofErr w:type="spellStart"/>
      <w:r w:rsidRPr="00615CA8">
        <w:rPr>
          <w:rFonts w:ascii="Arial" w:eastAsia="Times New Roman" w:hAnsi="Arial" w:cs="Arial"/>
          <w:color w:val="000000"/>
          <w:sz w:val="24"/>
          <w:szCs w:val="24"/>
          <w:rtl/>
        </w:rPr>
        <w:t>הסובארו</w:t>
      </w:r>
      <w:proofErr w:type="spellEnd"/>
      <w:r w:rsidRPr="00615CA8">
        <w:rPr>
          <w:rFonts w:ascii="Arial" w:eastAsia="Times New Roman" w:hAnsi="Arial" w:cs="Arial"/>
          <w:color w:val="000000"/>
          <w:sz w:val="24"/>
          <w:szCs w:val="24"/>
          <w:rtl/>
        </w:rPr>
        <w:t xml:space="preserve"> נסעה במהירות גבוהה יותר מאשר הייתה מוכנה להודות בה וגבוהה מן הסביר והמתאים לנסיבות. מדובר בתנאי דרך קשים ביותר מבחינת שדה ראייה, אשר חושפים את שני הנהגים לסיכון. בתנאים כאלו יש מקום לזהירות מיוחדת.</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14.       לאחר שהתרשמתי מהדגמת התאונה כפי שהיא נעשתה על ידי העדות ובחנתי את מכלול הראיות והטיעונים שהובאו לפני, אני סבורה שיש מקום לחלוקת אחריות בגין תאונה זו כדלקמן: מאזדה -  70%, סובארו – 30%.</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15.       בכל הנוגע לגובה הנזק:</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בתביעה העיקרית הוגשה חוות דעת שמאי שלא נסתרה והסכום, בצרוף שכר הטרחה, עומד על 15,275 ₪, נושא הפרשי הצמדה ממועד התאונה. מסכום זה יגזרו האחוזים וכמו כן </w:t>
      </w:r>
      <w:proofErr w:type="spellStart"/>
      <w:r w:rsidRPr="00615CA8">
        <w:rPr>
          <w:rFonts w:ascii="Arial" w:eastAsia="Times New Roman" w:hAnsi="Arial" w:cs="Arial"/>
          <w:color w:val="000000"/>
          <w:sz w:val="24"/>
          <w:szCs w:val="24"/>
          <w:rtl/>
        </w:rPr>
        <w:t>ישאו</w:t>
      </w:r>
      <w:proofErr w:type="spellEnd"/>
      <w:r w:rsidRPr="00615CA8">
        <w:rPr>
          <w:rFonts w:ascii="Arial" w:eastAsia="Times New Roman" w:hAnsi="Arial" w:cs="Arial"/>
          <w:color w:val="000000"/>
          <w:sz w:val="24"/>
          <w:szCs w:val="24"/>
          <w:rtl/>
        </w:rPr>
        <w:t xml:space="preserve"> הנתבעים בסכום האגרה ששולם על ידי התובע ובשכר טרחת עורך דינו בשיעור 10% בצרוף מע"מ.</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בכל הנוגע לתביעה שכנגד – מעדותה של הנתבעת עולה כי היא פוצתה על ידי חברת הביטוח וחויבה בהשתתפות עצמית. ככל שהדבר עולה מהמסמכים שלפני, גובה הנזק של התובעים שכנגד עצמם הינו 2,225 ₪, נושא הפרשי הצמדה מיום התאונה ועד לתשלום בפועל. מסכום זה יגזרו האחוזים. נוכח ההפרש בין סכום התביעה שכנגד לבין הסכום שנפסק, </w:t>
      </w:r>
      <w:proofErr w:type="spellStart"/>
      <w:r w:rsidRPr="00615CA8">
        <w:rPr>
          <w:rFonts w:ascii="Arial" w:eastAsia="Times New Roman" w:hAnsi="Arial" w:cs="Arial"/>
          <w:color w:val="000000"/>
          <w:sz w:val="24"/>
          <w:szCs w:val="24"/>
          <w:rtl/>
        </w:rPr>
        <w:t>ישאו</w:t>
      </w:r>
      <w:proofErr w:type="spellEnd"/>
      <w:r w:rsidRPr="00615CA8">
        <w:rPr>
          <w:rFonts w:ascii="Arial" w:eastAsia="Times New Roman" w:hAnsi="Arial" w:cs="Arial"/>
          <w:color w:val="000000"/>
          <w:sz w:val="24"/>
          <w:szCs w:val="24"/>
          <w:rtl/>
        </w:rPr>
        <w:t xml:space="preserve"> הנתבעים שכנגד בהשתתפות בסכום האגרה בסך 277 ₪ ובשכר טרחת עורך דין בסך 784 ₪ (כולל מע"מ).</w:t>
      </w:r>
    </w:p>
    <w:p w:rsidR="00615CA8" w:rsidRPr="00615CA8" w:rsidRDefault="00615CA8" w:rsidP="00615CA8">
      <w:pPr>
        <w:spacing w:after="0" w:line="240" w:lineRule="auto"/>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ind w:left="720" w:hanging="720"/>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xml:space="preserve">16.       בשולי הדברים </w:t>
      </w:r>
      <w:proofErr w:type="spellStart"/>
      <w:r w:rsidRPr="00615CA8">
        <w:rPr>
          <w:rFonts w:ascii="Arial" w:eastAsia="Times New Roman" w:hAnsi="Arial" w:cs="Arial"/>
          <w:color w:val="000000"/>
          <w:sz w:val="24"/>
          <w:szCs w:val="24"/>
          <w:rtl/>
        </w:rPr>
        <w:t>יצויין</w:t>
      </w:r>
      <w:proofErr w:type="spellEnd"/>
      <w:r w:rsidRPr="00615CA8">
        <w:rPr>
          <w:rFonts w:ascii="Arial" w:eastAsia="Times New Roman" w:hAnsi="Arial" w:cs="Arial"/>
          <w:color w:val="000000"/>
          <w:sz w:val="24"/>
          <w:szCs w:val="24"/>
          <w:rtl/>
        </w:rPr>
        <w:t xml:space="preserve"> כי לפי </w:t>
      </w:r>
      <w:proofErr w:type="spellStart"/>
      <w:r w:rsidRPr="00615CA8">
        <w:rPr>
          <w:rFonts w:ascii="Arial" w:eastAsia="Times New Roman" w:hAnsi="Arial" w:cs="Arial"/>
          <w:color w:val="000000"/>
          <w:sz w:val="24"/>
          <w:szCs w:val="24"/>
          <w:rtl/>
        </w:rPr>
        <w:t>תאוריהם</w:t>
      </w:r>
      <w:proofErr w:type="spellEnd"/>
      <w:r w:rsidRPr="00615CA8">
        <w:rPr>
          <w:rFonts w:ascii="Arial" w:eastAsia="Times New Roman" w:hAnsi="Arial" w:cs="Arial"/>
          <w:color w:val="000000"/>
          <w:sz w:val="24"/>
          <w:szCs w:val="24"/>
          <w:rtl/>
        </w:rPr>
        <w:t xml:space="preserve"> של שני הצדדים, מדובר בצומת מסוכן ושומה על העיריה לפעול בכל האמצעים הסבירים והנאותים העומדים לרשותה כדי לצמצם את הסיכון הנובע ממנו.</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המזכירות תמציא פסק הדין לצדדים.</w:t>
      </w:r>
    </w:p>
    <w:p w:rsidR="00615CA8" w:rsidRPr="00615CA8" w:rsidRDefault="00615CA8" w:rsidP="00615CA8">
      <w:pPr>
        <w:spacing w:after="0" w:line="330" w:lineRule="atLeast"/>
        <w:jc w:val="both"/>
        <w:rPr>
          <w:rFonts w:ascii="Times New Roman" w:eastAsia="Times New Roman" w:hAnsi="Times New Roman" w:cs="Times New Roman"/>
          <w:color w:val="000000"/>
          <w:rtl/>
        </w:rPr>
      </w:pPr>
      <w:bookmarkStart w:id="7" w:name="Decision1"/>
      <w:r w:rsidRPr="00615CA8">
        <w:rPr>
          <w:rFonts w:ascii="Arial" w:eastAsia="Times New Roman" w:hAnsi="Arial" w:cs="Arial"/>
          <w:b/>
          <w:bCs/>
          <w:color w:val="000000"/>
          <w:sz w:val="24"/>
          <w:szCs w:val="24"/>
          <w:rtl/>
        </w:rPr>
        <w:t> </w:t>
      </w:r>
      <w:bookmarkEnd w:id="7"/>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b/>
          <w:bCs/>
          <w:color w:val="000000"/>
          <w:sz w:val="24"/>
          <w:szCs w:val="24"/>
          <w:rtl/>
        </w:rPr>
        <w:t>ניתן היום כ"ז באדר ב, תשס"ה (7 באפריל 2005), בהעדר.</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tbl>
      <w:tblPr>
        <w:tblW w:w="0" w:type="auto"/>
        <w:jc w:val="right"/>
        <w:tblInd w:w="5811" w:type="dxa"/>
        <w:tblCellMar>
          <w:left w:w="0" w:type="dxa"/>
          <w:right w:w="0" w:type="dxa"/>
        </w:tblCellMar>
        <w:tblLook w:val="04A0" w:firstRow="1" w:lastRow="0" w:firstColumn="1" w:lastColumn="0" w:noHBand="0" w:noVBand="1"/>
      </w:tblPr>
      <w:tblGrid>
        <w:gridCol w:w="2711"/>
      </w:tblGrid>
      <w:tr w:rsidR="00615CA8" w:rsidRPr="00615CA8" w:rsidTr="00615CA8">
        <w:trPr>
          <w:trHeight w:val="342"/>
          <w:jc w:val="right"/>
        </w:trPr>
        <w:tc>
          <w:tcPr>
            <w:tcW w:w="2718" w:type="dxa"/>
            <w:tcBorders>
              <w:top w:val="single" w:sz="4" w:space="0" w:color="auto"/>
              <w:left w:val="nil"/>
              <w:bottom w:val="nil"/>
              <w:right w:val="nil"/>
            </w:tcBorders>
            <w:tcMar>
              <w:top w:w="0" w:type="dxa"/>
              <w:left w:w="108" w:type="dxa"/>
              <w:bottom w:w="0" w:type="dxa"/>
              <w:right w:w="108" w:type="dxa"/>
            </w:tcMar>
            <w:hideMark/>
          </w:tcPr>
          <w:p w:rsidR="00615CA8" w:rsidRPr="00615CA8" w:rsidRDefault="00615CA8" w:rsidP="00615CA8">
            <w:pPr>
              <w:spacing w:after="0" w:line="330" w:lineRule="atLeast"/>
              <w:jc w:val="center"/>
              <w:rPr>
                <w:rFonts w:ascii="Times New Roman" w:eastAsia="Times New Roman" w:hAnsi="Times New Roman" w:cs="Times New Roman"/>
              </w:rPr>
            </w:pPr>
            <w:r w:rsidRPr="00615CA8">
              <w:rPr>
                <w:rFonts w:ascii="Arial" w:eastAsia="Times New Roman" w:hAnsi="Arial" w:cs="Arial"/>
                <w:b/>
                <w:bCs/>
                <w:sz w:val="24"/>
                <w:szCs w:val="24"/>
                <w:rtl/>
              </w:rPr>
              <w:t>תמר אברהמי, שופטת</w:t>
            </w:r>
          </w:p>
        </w:tc>
      </w:tr>
    </w:tbl>
    <w:p w:rsidR="00615CA8" w:rsidRPr="00615CA8" w:rsidRDefault="00615CA8" w:rsidP="00615CA8">
      <w:pPr>
        <w:spacing w:after="0" w:line="330" w:lineRule="atLeast"/>
        <w:ind w:left="4320" w:firstLine="720"/>
        <w:jc w:val="both"/>
        <w:rPr>
          <w:rFonts w:ascii="Times New Roman" w:eastAsia="Times New Roman" w:hAnsi="Times New Roman" w:cs="Times New Roman"/>
          <w:color w:val="000000"/>
          <w:rtl/>
        </w:rPr>
      </w:pPr>
      <w:r w:rsidRPr="00615CA8">
        <w:rPr>
          <w:rFonts w:ascii="Arial" w:eastAsia="Times New Roman" w:hAnsi="Arial" w:cs="Arial"/>
          <w:b/>
          <w:bCs/>
          <w:color w:val="000000"/>
          <w:sz w:val="24"/>
          <w:szCs w:val="24"/>
          <w:rtl/>
        </w:rPr>
        <w:t> </w:t>
      </w:r>
    </w:p>
    <w:p w:rsidR="00615CA8" w:rsidRPr="00615CA8" w:rsidRDefault="00615CA8" w:rsidP="00615CA8">
      <w:pPr>
        <w:spacing w:after="0" w:line="330" w:lineRule="atLeast"/>
        <w:jc w:val="both"/>
        <w:rPr>
          <w:rFonts w:ascii="Times New Roman" w:eastAsia="Times New Roman" w:hAnsi="Times New Roman" w:cs="Times New Roman"/>
          <w:color w:val="000000"/>
          <w:rtl/>
        </w:rPr>
      </w:pPr>
      <w:r w:rsidRPr="00615CA8">
        <w:rPr>
          <w:rFonts w:ascii="Arial" w:eastAsia="Times New Roman" w:hAnsi="Arial" w:cs="Arial"/>
          <w:color w:val="000000"/>
          <w:sz w:val="24"/>
          <w:szCs w:val="24"/>
          <w:rtl/>
        </w:rPr>
        <w:t> </w:t>
      </w:r>
    </w:p>
    <w:p w:rsidR="00FF3E1C" w:rsidRDefault="00FF3E1C">
      <w:bookmarkStart w:id="8" w:name="_GoBack"/>
      <w:bookmarkEnd w:id="8"/>
    </w:p>
    <w:sectPr w:rsidR="00FF3E1C"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A8"/>
    <w:rsid w:val="00615CA8"/>
    <w:rsid w:val="00D72B6C"/>
    <w:rsid w:val="00FF3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615C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15CA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615CA8"/>
    <w:rPr>
      <w:rFonts w:ascii="Times New Roman" w:eastAsia="Times New Roman" w:hAnsi="Times New Roman" w:cs="Times New Roman"/>
      <w:b/>
      <w:bCs/>
      <w:sz w:val="24"/>
      <w:szCs w:val="24"/>
    </w:rPr>
  </w:style>
  <w:style w:type="character" w:customStyle="1" w:styleId="50">
    <w:name w:val="כותרת 5 תו"/>
    <w:basedOn w:val="a0"/>
    <w:link w:val="5"/>
    <w:uiPriority w:val="9"/>
    <w:rsid w:val="00615CA8"/>
    <w:rPr>
      <w:rFonts w:ascii="Times New Roman" w:eastAsia="Times New Roman" w:hAnsi="Times New Roman" w:cs="Times New Roman"/>
      <w:b/>
      <w:bCs/>
      <w:sz w:val="20"/>
      <w:szCs w:val="20"/>
    </w:rPr>
  </w:style>
  <w:style w:type="paragraph" w:styleId="a3">
    <w:name w:val="header"/>
    <w:basedOn w:val="a"/>
    <w:link w:val="a4"/>
    <w:uiPriority w:val="99"/>
    <w:unhideWhenUsed/>
    <w:rsid w:val="00615C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615CA8"/>
    <w:rPr>
      <w:rFonts w:ascii="Times New Roman" w:eastAsia="Times New Roman" w:hAnsi="Times New Roman" w:cs="Times New Roman"/>
      <w:sz w:val="24"/>
      <w:szCs w:val="24"/>
    </w:rPr>
  </w:style>
  <w:style w:type="character" w:styleId="a5">
    <w:name w:val="page number"/>
    <w:basedOn w:val="a0"/>
    <w:uiPriority w:val="99"/>
    <w:semiHidden/>
    <w:unhideWhenUsed/>
    <w:rsid w:val="00615CA8"/>
  </w:style>
  <w:style w:type="paragraph" w:customStyle="1" w:styleId="a6">
    <w:name w:val="a"/>
    <w:basedOn w:val="a"/>
    <w:rsid w:val="00615C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15C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uiPriority w:val="9"/>
    <w:qFormat/>
    <w:rsid w:val="00615C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615CA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615CA8"/>
    <w:rPr>
      <w:rFonts w:ascii="Times New Roman" w:eastAsia="Times New Roman" w:hAnsi="Times New Roman" w:cs="Times New Roman"/>
      <w:b/>
      <w:bCs/>
      <w:sz w:val="24"/>
      <w:szCs w:val="24"/>
    </w:rPr>
  </w:style>
  <w:style w:type="character" w:customStyle="1" w:styleId="50">
    <w:name w:val="כותרת 5 תו"/>
    <w:basedOn w:val="a0"/>
    <w:link w:val="5"/>
    <w:uiPriority w:val="9"/>
    <w:rsid w:val="00615CA8"/>
    <w:rPr>
      <w:rFonts w:ascii="Times New Roman" w:eastAsia="Times New Roman" w:hAnsi="Times New Roman" w:cs="Times New Roman"/>
      <w:b/>
      <w:bCs/>
      <w:sz w:val="20"/>
      <w:szCs w:val="20"/>
    </w:rPr>
  </w:style>
  <w:style w:type="paragraph" w:styleId="a3">
    <w:name w:val="header"/>
    <w:basedOn w:val="a"/>
    <w:link w:val="a4"/>
    <w:uiPriority w:val="99"/>
    <w:unhideWhenUsed/>
    <w:rsid w:val="00615CA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615CA8"/>
    <w:rPr>
      <w:rFonts w:ascii="Times New Roman" w:eastAsia="Times New Roman" w:hAnsi="Times New Roman" w:cs="Times New Roman"/>
      <w:sz w:val="24"/>
      <w:szCs w:val="24"/>
    </w:rPr>
  </w:style>
  <w:style w:type="character" w:styleId="a5">
    <w:name w:val="page number"/>
    <w:basedOn w:val="a0"/>
    <w:uiPriority w:val="99"/>
    <w:semiHidden/>
    <w:unhideWhenUsed/>
    <w:rsid w:val="00615CA8"/>
  </w:style>
  <w:style w:type="paragraph" w:customStyle="1" w:styleId="a6">
    <w:name w:val="a"/>
    <w:basedOn w:val="a"/>
    <w:rsid w:val="00615C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15C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5124">
      <w:bodyDiv w:val="1"/>
      <w:marLeft w:val="0"/>
      <w:marRight w:val="0"/>
      <w:marTop w:val="0"/>
      <w:marBottom w:val="0"/>
      <w:divBdr>
        <w:top w:val="none" w:sz="0" w:space="0" w:color="auto"/>
        <w:left w:val="none" w:sz="0" w:space="0" w:color="auto"/>
        <w:bottom w:val="none" w:sz="0" w:space="0" w:color="auto"/>
        <w:right w:val="none" w:sz="0" w:space="0" w:color="auto"/>
      </w:divBdr>
      <w:divsChild>
        <w:div w:id="117179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3890</Characters>
  <Application>Microsoft Office Word</Application>
  <DocSecurity>0</DocSecurity>
  <Lines>32</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2018-02-28T11:30:00Z</dcterms:created>
  <dcterms:modified xsi:type="dcterms:W3CDTF">2018-02-28T11:30:00Z</dcterms:modified>
</cp:coreProperties>
</file>