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25"/>
      </w:tblGrid>
      <w:tr w:rsidR="000309D0" w:rsidRPr="000309D0" w:rsidTr="000309D0">
        <w:trPr>
          <w:tblCellSpacing w:w="0" w:type="dxa"/>
          <w:jc w:val="center"/>
        </w:trPr>
        <w:tc>
          <w:tcPr>
            <w:tcW w:w="0" w:type="auto"/>
            <w:hideMark/>
          </w:tcPr>
          <w:p w:rsidR="000309D0" w:rsidRPr="000309D0" w:rsidRDefault="000309D0" w:rsidP="000309D0">
            <w:pPr>
              <w:spacing w:after="0" w:line="330" w:lineRule="atLeast"/>
              <w:jc w:val="both"/>
              <w:rPr>
                <w:rFonts w:ascii="Times New Roman" w:eastAsia="Times New Roman" w:hAnsi="Times New Roman" w:cs="Times New Roman"/>
              </w:rPr>
            </w:pPr>
            <w:bookmarkStart w:id="0" w:name="שכפל"/>
            <w:bookmarkStart w:id="1" w:name="צד_ג"/>
            <w:bookmarkEnd w:id="0"/>
            <w:bookmarkEnd w:id="1"/>
            <w:r w:rsidRPr="000309D0">
              <w:rPr>
                <w:rFonts w:ascii="David" w:eastAsia="Times New Roman" w:hAnsi="David" w:cs="David"/>
                <w:sz w:val="28"/>
                <w:szCs w:val="28"/>
                <w:rtl/>
              </w:rPr>
              <w:t>1</w:t>
            </w:r>
          </w:p>
        </w:tc>
      </w:tr>
    </w:tbl>
    <w:p w:rsidR="000309D0" w:rsidRPr="000309D0" w:rsidRDefault="000309D0" w:rsidP="000309D0">
      <w:pPr>
        <w:spacing w:after="0" w:line="330" w:lineRule="atLeast"/>
        <w:jc w:val="center"/>
        <w:rPr>
          <w:rFonts w:ascii="Times New Roman" w:eastAsia="Times New Roman" w:hAnsi="Times New Roman" w:cs="Times New Roman"/>
          <w:color w:val="000000"/>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jc w:val="center"/>
        <w:rPr>
          <w:rFonts w:ascii="Times New Roman" w:eastAsia="Times New Roman" w:hAnsi="Times New Roman" w:cs="Times New Roman"/>
          <w:color w:val="000000"/>
          <w:rtl/>
        </w:rPr>
      </w:pPr>
      <w:r w:rsidRPr="000309D0">
        <w:rPr>
          <w:rFonts w:ascii="Arial" w:eastAsia="Times New Roman" w:hAnsi="Arial" w:cs="Arial"/>
          <w:b/>
          <w:bCs/>
          <w:color w:val="000000"/>
          <w:sz w:val="28"/>
          <w:szCs w:val="28"/>
        </w:rPr>
        <w:t>   </w:t>
      </w:r>
    </w:p>
    <w:p w:rsidR="000309D0" w:rsidRPr="000309D0" w:rsidRDefault="000309D0" w:rsidP="000309D0">
      <w:pPr>
        <w:spacing w:after="0" w:line="330" w:lineRule="atLeast"/>
        <w:jc w:val="center"/>
        <w:rPr>
          <w:rFonts w:ascii="Times New Roman" w:eastAsia="Times New Roman" w:hAnsi="Times New Roman" w:cs="Times New Roman"/>
          <w:color w:val="000000"/>
          <w:rtl/>
        </w:rPr>
      </w:pPr>
      <w:r w:rsidRPr="000309D0">
        <w:rPr>
          <w:rFonts w:ascii="David" w:eastAsia="Times New Roman" w:hAnsi="David" w:cs="David"/>
          <w:b/>
          <w:bCs/>
          <w:color w:val="000000"/>
          <w:sz w:val="28"/>
          <w:szCs w:val="28"/>
          <w:rtl/>
        </w:rPr>
        <w:t>בתי המשפט</w:t>
      </w:r>
    </w:p>
    <w:tbl>
      <w:tblPr>
        <w:tblW w:w="0" w:type="auto"/>
        <w:jc w:val="right"/>
        <w:tblCellMar>
          <w:left w:w="0" w:type="dxa"/>
          <w:right w:w="0" w:type="dxa"/>
        </w:tblCellMar>
        <w:tblLook w:val="04A0" w:firstRow="1" w:lastRow="0" w:firstColumn="1" w:lastColumn="0" w:noHBand="0" w:noVBand="1"/>
      </w:tblPr>
      <w:tblGrid>
        <w:gridCol w:w="2097"/>
        <w:gridCol w:w="991"/>
        <w:gridCol w:w="4520"/>
        <w:gridCol w:w="914"/>
      </w:tblGrid>
      <w:tr w:rsidR="000309D0" w:rsidRPr="000309D0" w:rsidTr="000309D0">
        <w:trPr>
          <w:trHeight w:val="195"/>
          <w:jc w:val="right"/>
        </w:trPr>
        <w:tc>
          <w:tcPr>
            <w:tcW w:w="3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09D0" w:rsidRPr="000309D0" w:rsidRDefault="000309D0" w:rsidP="000309D0">
            <w:pPr>
              <w:spacing w:after="0" w:line="195" w:lineRule="atLeast"/>
              <w:jc w:val="both"/>
              <w:rPr>
                <w:rFonts w:ascii="Times New Roman" w:eastAsia="Times New Roman" w:hAnsi="Times New Roman" w:cs="Times New Roman"/>
              </w:rPr>
            </w:pPr>
            <w:r w:rsidRPr="000309D0">
              <w:rPr>
                <w:rFonts w:ascii="David" w:eastAsia="Times New Roman" w:hAnsi="David" w:cs="David"/>
                <w:b/>
                <w:bCs/>
                <w:sz w:val="28"/>
                <w:szCs w:val="28"/>
                <w:rtl/>
              </w:rPr>
              <w:t>א  065256/04</w:t>
            </w:r>
          </w:p>
        </w:tc>
        <w:tc>
          <w:tcPr>
            <w:tcW w:w="5444" w:type="dxa"/>
            <w:gridSpan w:val="2"/>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309D0" w:rsidRPr="000309D0" w:rsidRDefault="000309D0" w:rsidP="000309D0">
            <w:pPr>
              <w:spacing w:after="0" w:line="195" w:lineRule="atLeast"/>
              <w:jc w:val="both"/>
              <w:rPr>
                <w:rFonts w:ascii="Times New Roman" w:eastAsia="Times New Roman" w:hAnsi="Times New Roman" w:cs="Times New Roman"/>
              </w:rPr>
            </w:pPr>
            <w:r w:rsidRPr="000309D0">
              <w:rPr>
                <w:rFonts w:ascii="David" w:eastAsia="Times New Roman" w:hAnsi="David" w:cs="David"/>
                <w:b/>
                <w:bCs/>
                <w:sz w:val="28"/>
                <w:szCs w:val="28"/>
                <w:rtl/>
              </w:rPr>
              <w:t>בית משפט השלום תל אביב-יפו</w:t>
            </w:r>
          </w:p>
        </w:tc>
      </w:tr>
      <w:tr w:rsidR="000309D0" w:rsidRPr="000309D0" w:rsidTr="000309D0">
        <w:trPr>
          <w:trHeight w:val="195"/>
          <w:jc w:val="right"/>
        </w:trPr>
        <w:tc>
          <w:tcPr>
            <w:tcW w:w="308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309D0" w:rsidRPr="000309D0" w:rsidRDefault="000309D0" w:rsidP="000309D0">
            <w:pPr>
              <w:spacing w:after="0" w:line="195" w:lineRule="atLeast"/>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0" w:type="auto"/>
            <w:gridSpan w:val="2"/>
            <w:vMerge/>
            <w:tcBorders>
              <w:top w:val="single" w:sz="4" w:space="0" w:color="auto"/>
              <w:left w:val="nil"/>
              <w:bottom w:val="single" w:sz="4" w:space="0" w:color="auto"/>
              <w:right w:val="single" w:sz="4" w:space="0" w:color="auto"/>
            </w:tcBorders>
            <w:vAlign w:val="center"/>
            <w:hideMark/>
          </w:tcPr>
          <w:p w:rsidR="000309D0" w:rsidRPr="000309D0" w:rsidRDefault="000309D0" w:rsidP="000309D0">
            <w:pPr>
              <w:bidi w:val="0"/>
              <w:spacing w:after="0" w:line="240" w:lineRule="auto"/>
              <w:rPr>
                <w:rFonts w:ascii="Times New Roman" w:eastAsia="Times New Roman" w:hAnsi="Times New Roman" w:cs="Times New Roman"/>
              </w:rPr>
            </w:pPr>
          </w:p>
        </w:tc>
      </w:tr>
      <w:tr w:rsidR="000309D0" w:rsidRPr="000309D0" w:rsidTr="000309D0">
        <w:trPr>
          <w:trHeight w:val="286"/>
          <w:jc w:val="right"/>
        </w:trPr>
        <w:tc>
          <w:tcPr>
            <w:tcW w:w="209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309D0" w:rsidRPr="000309D0" w:rsidRDefault="000309D0" w:rsidP="000309D0">
            <w:pPr>
              <w:spacing w:after="0" w:line="330" w:lineRule="atLeast"/>
              <w:jc w:val="both"/>
              <w:rPr>
                <w:rFonts w:ascii="Times New Roman" w:eastAsia="Times New Roman" w:hAnsi="Times New Roman" w:cs="Times New Roman"/>
              </w:rPr>
            </w:pPr>
            <w:r w:rsidRPr="000309D0">
              <w:rPr>
                <w:rFonts w:ascii="David" w:eastAsia="Times New Roman" w:hAnsi="David" w:cs="David"/>
                <w:b/>
                <w:bCs/>
                <w:sz w:val="28"/>
                <w:szCs w:val="28"/>
                <w:rtl/>
              </w:rPr>
              <w:t>16/11/2005</w:t>
            </w:r>
          </w:p>
        </w:tc>
        <w:tc>
          <w:tcPr>
            <w:tcW w:w="992" w:type="dxa"/>
            <w:tcBorders>
              <w:top w:val="nil"/>
              <w:left w:val="nil"/>
              <w:bottom w:val="single" w:sz="4" w:space="0" w:color="auto"/>
              <w:right w:val="single" w:sz="4" w:space="0" w:color="auto"/>
            </w:tcBorders>
            <w:tcMar>
              <w:top w:w="0" w:type="dxa"/>
              <w:left w:w="28" w:type="dxa"/>
              <w:bottom w:w="0" w:type="dxa"/>
              <w:right w:w="28" w:type="dxa"/>
            </w:tcMar>
            <w:hideMark/>
          </w:tcPr>
          <w:p w:rsidR="000309D0" w:rsidRPr="000309D0" w:rsidRDefault="000309D0" w:rsidP="000309D0">
            <w:pPr>
              <w:spacing w:after="0" w:line="330" w:lineRule="atLeast"/>
              <w:jc w:val="both"/>
              <w:rPr>
                <w:rFonts w:ascii="Times New Roman" w:eastAsia="Times New Roman" w:hAnsi="Times New Roman" w:cs="Times New Roman"/>
              </w:rPr>
            </w:pPr>
            <w:r w:rsidRPr="000309D0">
              <w:rPr>
                <w:rFonts w:ascii="David" w:eastAsia="Times New Roman" w:hAnsi="David" w:cs="David"/>
                <w:b/>
                <w:bCs/>
                <w:sz w:val="28"/>
                <w:szCs w:val="28"/>
                <w:rtl/>
              </w:rPr>
              <w:t>תאריך:</w:t>
            </w:r>
          </w:p>
        </w:tc>
        <w:tc>
          <w:tcPr>
            <w:tcW w:w="4536" w:type="dxa"/>
            <w:tcBorders>
              <w:top w:val="nil"/>
              <w:left w:val="nil"/>
              <w:bottom w:val="single" w:sz="4" w:space="0" w:color="auto"/>
              <w:right w:val="single" w:sz="4" w:space="0" w:color="auto"/>
            </w:tcBorders>
            <w:tcMar>
              <w:top w:w="0" w:type="dxa"/>
              <w:left w:w="108" w:type="dxa"/>
              <w:bottom w:w="0" w:type="dxa"/>
              <w:right w:w="108" w:type="dxa"/>
            </w:tcMar>
            <w:hideMark/>
          </w:tcPr>
          <w:p w:rsidR="000309D0" w:rsidRPr="000309D0" w:rsidRDefault="000309D0" w:rsidP="000309D0">
            <w:pPr>
              <w:spacing w:after="0" w:line="330" w:lineRule="atLeast"/>
              <w:jc w:val="both"/>
              <w:rPr>
                <w:rFonts w:ascii="Times New Roman" w:eastAsia="Times New Roman" w:hAnsi="Times New Roman" w:cs="Times New Roman"/>
              </w:rPr>
            </w:pPr>
            <w:r w:rsidRPr="000309D0">
              <w:rPr>
                <w:rFonts w:ascii="David" w:eastAsia="Times New Roman" w:hAnsi="David" w:cs="David"/>
                <w:b/>
                <w:bCs/>
                <w:sz w:val="28"/>
                <w:szCs w:val="28"/>
                <w:rtl/>
              </w:rPr>
              <w:t xml:space="preserve">כבוד השופטת חנה </w:t>
            </w:r>
            <w:proofErr w:type="spellStart"/>
            <w:r w:rsidRPr="000309D0">
              <w:rPr>
                <w:rFonts w:ascii="David" w:eastAsia="Times New Roman" w:hAnsi="David" w:cs="David"/>
                <w:b/>
                <w:bCs/>
                <w:sz w:val="28"/>
                <w:szCs w:val="28"/>
                <w:rtl/>
              </w:rPr>
              <w:t>פלינר</w:t>
            </w:r>
            <w:proofErr w:type="spellEnd"/>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0309D0" w:rsidRPr="000309D0" w:rsidRDefault="000309D0" w:rsidP="000309D0">
            <w:pPr>
              <w:spacing w:after="0" w:line="330" w:lineRule="atLeast"/>
              <w:jc w:val="both"/>
              <w:rPr>
                <w:rFonts w:ascii="Times New Roman" w:eastAsia="Times New Roman" w:hAnsi="Times New Roman" w:cs="Times New Roman"/>
              </w:rPr>
            </w:pPr>
            <w:r w:rsidRPr="000309D0">
              <w:rPr>
                <w:rFonts w:ascii="David" w:eastAsia="Times New Roman" w:hAnsi="David" w:cs="David"/>
                <w:b/>
                <w:bCs/>
                <w:sz w:val="28"/>
                <w:szCs w:val="28"/>
                <w:rtl/>
              </w:rPr>
              <w:t>בפני:</w:t>
            </w:r>
          </w:p>
        </w:tc>
      </w:tr>
      <w:tr w:rsidR="000309D0" w:rsidRPr="000309D0" w:rsidTr="000309D0">
        <w:trPr>
          <w:jc w:val="right"/>
        </w:trPr>
        <w:tc>
          <w:tcPr>
            <w:tcW w:w="2100"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c>
          <w:tcPr>
            <w:tcW w:w="4530"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r>
    </w:tbl>
    <w:p w:rsidR="000309D0" w:rsidRPr="000309D0" w:rsidRDefault="000309D0" w:rsidP="000309D0">
      <w:pPr>
        <w:spacing w:after="0" w:line="330" w:lineRule="atLeast"/>
        <w:jc w:val="both"/>
        <w:rPr>
          <w:rFonts w:ascii="Times New Roman" w:eastAsia="Times New Roman" w:hAnsi="Times New Roman" w:cs="Times New Roman"/>
          <w:color w:val="000000"/>
          <w:rtl/>
        </w:rPr>
      </w:pPr>
      <w:r w:rsidRPr="000309D0">
        <w:rPr>
          <w:rFonts w:ascii="David" w:eastAsia="Times New Roman" w:hAnsi="David" w:cs="David"/>
          <w:b/>
          <w:bCs/>
          <w:color w:val="000000"/>
          <w:sz w:val="28"/>
          <w:szCs w:val="28"/>
          <w:rtl/>
        </w:rPr>
        <w:t> </w:t>
      </w:r>
    </w:p>
    <w:p w:rsidR="000309D0" w:rsidRPr="000309D0" w:rsidRDefault="000309D0" w:rsidP="000309D0">
      <w:pPr>
        <w:spacing w:after="0" w:line="20" w:lineRule="atLeast"/>
        <w:rPr>
          <w:rFonts w:ascii="Times New Roman" w:eastAsia="Times New Roman" w:hAnsi="Times New Roman" w:cs="Times New Roman"/>
          <w:color w:val="000000"/>
          <w:sz w:val="20"/>
          <w:szCs w:val="20"/>
          <w:rtl/>
        </w:rPr>
      </w:pPr>
      <w:r w:rsidRPr="000309D0">
        <w:rPr>
          <w:rFonts w:ascii="David" w:eastAsia="Times New Roman" w:hAnsi="David" w:cs="David"/>
          <w:color w:val="000000"/>
          <w:sz w:val="28"/>
          <w:szCs w:val="28"/>
          <w:rtl/>
        </w:rPr>
        <w:t> </w:t>
      </w:r>
    </w:p>
    <w:tbl>
      <w:tblPr>
        <w:tblW w:w="8647" w:type="dxa"/>
        <w:jc w:val="right"/>
        <w:tblCellMar>
          <w:left w:w="0" w:type="dxa"/>
          <w:right w:w="0" w:type="dxa"/>
        </w:tblCellMar>
        <w:tblLook w:val="04A0" w:firstRow="1" w:lastRow="0" w:firstColumn="1" w:lastColumn="0" w:noHBand="0" w:noVBand="1"/>
      </w:tblPr>
      <w:tblGrid>
        <w:gridCol w:w="2065"/>
        <w:gridCol w:w="344"/>
        <w:gridCol w:w="2408"/>
        <w:gridCol w:w="374"/>
        <w:gridCol w:w="2033"/>
        <w:gridCol w:w="1363"/>
        <w:gridCol w:w="60"/>
      </w:tblGrid>
      <w:tr w:rsidR="000309D0" w:rsidRPr="000309D0" w:rsidTr="000309D0">
        <w:trPr>
          <w:jc w:val="right"/>
        </w:trPr>
        <w:tc>
          <w:tcPr>
            <w:tcW w:w="2070"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5159" w:type="dxa"/>
            <w:gridSpan w:val="4"/>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bookmarkStart w:id="2" w:name="שם_א"/>
            <w:r w:rsidRPr="000309D0">
              <w:rPr>
                <w:rFonts w:ascii="David" w:eastAsia="Times New Roman" w:hAnsi="David" w:cs="David"/>
                <w:b/>
                <w:bCs/>
                <w:sz w:val="28"/>
                <w:szCs w:val="28"/>
                <w:rtl/>
              </w:rPr>
              <w:t>1 . חברה לבטוח </w:t>
            </w:r>
            <w:bookmarkEnd w:id="2"/>
            <w:r w:rsidRPr="000309D0">
              <w:rPr>
                <w:rFonts w:ascii="Arial" w:eastAsia="Times New Roman" w:hAnsi="Arial" w:cs="Arial"/>
                <w:b/>
                <w:bCs/>
                <w:sz w:val="28"/>
                <w:szCs w:val="28"/>
              </w:rPr>
              <w:t>A.I.G</w:t>
            </w:r>
          </w:p>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David" w:eastAsia="Times New Roman" w:hAnsi="David" w:cs="David"/>
                <w:b/>
                <w:bCs/>
                <w:sz w:val="28"/>
                <w:szCs w:val="28"/>
                <w:rtl/>
              </w:rPr>
              <w:t>2 . כהן ארז</w:t>
            </w:r>
          </w:p>
        </w:tc>
        <w:tc>
          <w:tcPr>
            <w:tcW w:w="1362"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David" w:eastAsia="Times New Roman" w:hAnsi="David" w:cs="David"/>
                <w:b/>
                <w:bCs/>
                <w:sz w:val="28"/>
                <w:szCs w:val="28"/>
                <w:rtl/>
              </w:rPr>
              <w:t>בעניין:</w:t>
            </w:r>
          </w:p>
        </w:tc>
        <w:tc>
          <w:tcPr>
            <w:tcW w:w="60" w:type="dxa"/>
            <w:tcBorders>
              <w:top w:val="nil"/>
              <w:left w:val="nil"/>
              <w:bottom w:val="nil"/>
              <w:right w:val="nil"/>
            </w:tcBorders>
            <w:vAlign w:val="center"/>
            <w:hideMark/>
          </w:tcPr>
          <w:p w:rsidR="000309D0" w:rsidRPr="000309D0" w:rsidRDefault="000309D0" w:rsidP="000309D0">
            <w:pPr>
              <w:spacing w:after="0" w:line="330" w:lineRule="atLeast"/>
              <w:jc w:val="both"/>
              <w:rPr>
                <w:rFonts w:ascii="Times New Roman" w:eastAsia="Times New Roman" w:hAnsi="Times New Roman" w:cs="Times New Roman"/>
              </w:rPr>
            </w:pPr>
            <w:r w:rsidRPr="000309D0">
              <w:rPr>
                <w:rFonts w:ascii="Times New Roman" w:eastAsia="Times New Roman" w:hAnsi="Times New Roman" w:cs="Times New Roman"/>
                <w:rtl/>
              </w:rPr>
              <w:t> </w:t>
            </w:r>
          </w:p>
        </w:tc>
      </w:tr>
      <w:tr w:rsidR="000309D0" w:rsidRPr="000309D0" w:rsidTr="000309D0">
        <w:trPr>
          <w:jc w:val="right"/>
        </w:trPr>
        <w:tc>
          <w:tcPr>
            <w:tcW w:w="2070" w:type="dxa"/>
            <w:tcMar>
              <w:top w:w="0" w:type="dxa"/>
              <w:left w:w="107" w:type="dxa"/>
              <w:bottom w:w="0" w:type="dxa"/>
              <w:right w:w="107" w:type="dxa"/>
            </w:tcMar>
            <w:hideMark/>
          </w:tcPr>
          <w:p w:rsidR="000309D0" w:rsidRPr="000309D0" w:rsidRDefault="000309D0" w:rsidP="000309D0">
            <w:pPr>
              <w:spacing w:after="0" w:line="240" w:lineRule="auto"/>
              <w:jc w:val="both"/>
              <w:outlineLvl w:val="3"/>
              <w:rPr>
                <w:rFonts w:ascii="Times New Roman" w:eastAsia="Times New Roman" w:hAnsi="Times New Roman" w:cs="Times New Roman"/>
                <w:b/>
                <w:bCs/>
                <w:u w:val="single"/>
              </w:rPr>
            </w:pPr>
            <w:bookmarkStart w:id="3" w:name="כינוי_א"/>
            <w:r w:rsidRPr="000309D0">
              <w:rPr>
                <w:rFonts w:ascii="David" w:eastAsia="Times New Roman" w:hAnsi="David" w:cs="David"/>
                <w:b/>
                <w:bCs/>
                <w:sz w:val="28"/>
                <w:szCs w:val="28"/>
                <w:u w:val="single"/>
                <w:rtl/>
              </w:rPr>
              <w:t>תובעים</w:t>
            </w:r>
            <w:bookmarkEnd w:id="3"/>
          </w:p>
        </w:tc>
        <w:tc>
          <w:tcPr>
            <w:tcW w:w="3119" w:type="dxa"/>
            <w:gridSpan w:val="3"/>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2040"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1362"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0309D0" w:rsidRPr="000309D0" w:rsidRDefault="000309D0" w:rsidP="000309D0">
            <w:pPr>
              <w:spacing w:after="0" w:line="330" w:lineRule="atLeast"/>
              <w:jc w:val="both"/>
              <w:rPr>
                <w:rFonts w:ascii="Times New Roman" w:eastAsia="Times New Roman" w:hAnsi="Times New Roman" w:cs="Times New Roman"/>
              </w:rPr>
            </w:pPr>
            <w:r w:rsidRPr="000309D0">
              <w:rPr>
                <w:rFonts w:ascii="Times New Roman" w:eastAsia="Times New Roman" w:hAnsi="Times New Roman" w:cs="Times New Roman"/>
                <w:rtl/>
              </w:rPr>
              <w:t> </w:t>
            </w:r>
          </w:p>
        </w:tc>
      </w:tr>
      <w:tr w:rsidR="000309D0" w:rsidRPr="000309D0" w:rsidTr="000309D0">
        <w:trPr>
          <w:jc w:val="right"/>
        </w:trPr>
        <w:tc>
          <w:tcPr>
            <w:tcW w:w="2070"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5159" w:type="dxa"/>
            <w:gridSpan w:val="4"/>
            <w:tcMar>
              <w:top w:w="0" w:type="dxa"/>
              <w:left w:w="107" w:type="dxa"/>
              <w:bottom w:w="0" w:type="dxa"/>
              <w:right w:w="107" w:type="dxa"/>
            </w:tcMar>
            <w:hideMark/>
          </w:tcPr>
          <w:p w:rsidR="000309D0" w:rsidRPr="000309D0" w:rsidRDefault="000309D0" w:rsidP="000309D0">
            <w:pPr>
              <w:spacing w:after="0" w:line="240" w:lineRule="auto"/>
              <w:jc w:val="center"/>
              <w:rPr>
                <w:rFonts w:ascii="Times New Roman" w:eastAsia="Times New Roman" w:hAnsi="Times New Roman" w:cs="Times New Roman"/>
              </w:rPr>
            </w:pPr>
            <w:r w:rsidRPr="000309D0">
              <w:rPr>
                <w:rFonts w:ascii="David" w:eastAsia="Times New Roman" w:hAnsi="David" w:cs="David"/>
                <w:b/>
                <w:bCs/>
                <w:sz w:val="28"/>
                <w:szCs w:val="28"/>
                <w:rtl/>
              </w:rPr>
              <w:t>נ  ג  ד</w:t>
            </w:r>
          </w:p>
        </w:tc>
        <w:tc>
          <w:tcPr>
            <w:tcW w:w="1362"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0309D0" w:rsidRPr="000309D0" w:rsidRDefault="000309D0" w:rsidP="000309D0">
            <w:pPr>
              <w:spacing w:after="0" w:line="330" w:lineRule="atLeast"/>
              <w:jc w:val="both"/>
              <w:rPr>
                <w:rFonts w:ascii="Times New Roman" w:eastAsia="Times New Roman" w:hAnsi="Times New Roman" w:cs="Times New Roman"/>
              </w:rPr>
            </w:pPr>
            <w:r w:rsidRPr="000309D0">
              <w:rPr>
                <w:rFonts w:ascii="Times New Roman" w:eastAsia="Times New Roman" w:hAnsi="Times New Roman" w:cs="Times New Roman"/>
                <w:rtl/>
              </w:rPr>
              <w:t> </w:t>
            </w:r>
          </w:p>
        </w:tc>
      </w:tr>
      <w:tr w:rsidR="000309D0" w:rsidRPr="000309D0" w:rsidTr="000309D0">
        <w:trPr>
          <w:jc w:val="right"/>
        </w:trPr>
        <w:tc>
          <w:tcPr>
            <w:tcW w:w="2070"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5159" w:type="dxa"/>
            <w:gridSpan w:val="4"/>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bookmarkStart w:id="4" w:name="שם_ב"/>
            <w:r w:rsidRPr="000309D0">
              <w:rPr>
                <w:rFonts w:ascii="David" w:eastAsia="Times New Roman" w:hAnsi="David" w:cs="David"/>
                <w:b/>
                <w:bCs/>
                <w:sz w:val="28"/>
                <w:szCs w:val="28"/>
                <w:rtl/>
              </w:rPr>
              <w:t>1 . שושן אלעד</w:t>
            </w:r>
            <w:bookmarkEnd w:id="4"/>
          </w:p>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David" w:eastAsia="Times New Roman" w:hAnsi="David" w:cs="David"/>
                <w:b/>
                <w:bCs/>
                <w:sz w:val="28"/>
                <w:szCs w:val="28"/>
                <w:rtl/>
              </w:rPr>
              <w:t xml:space="preserve">2 . ביטוח ישיר, </w:t>
            </w:r>
            <w:proofErr w:type="spellStart"/>
            <w:r w:rsidRPr="000309D0">
              <w:rPr>
                <w:rFonts w:ascii="David" w:eastAsia="Times New Roman" w:hAnsi="David" w:cs="David"/>
                <w:b/>
                <w:bCs/>
                <w:sz w:val="28"/>
                <w:szCs w:val="28"/>
                <w:rtl/>
              </w:rPr>
              <w:t>אי.די.אי</w:t>
            </w:r>
            <w:proofErr w:type="spellEnd"/>
            <w:r w:rsidRPr="000309D0">
              <w:rPr>
                <w:rFonts w:ascii="David" w:eastAsia="Times New Roman" w:hAnsi="David" w:cs="David"/>
                <w:b/>
                <w:bCs/>
                <w:sz w:val="28"/>
                <w:szCs w:val="28"/>
                <w:rtl/>
              </w:rPr>
              <w:t>. חברה לביטוח בע"מ</w:t>
            </w:r>
          </w:p>
        </w:tc>
        <w:tc>
          <w:tcPr>
            <w:tcW w:w="1362"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0309D0" w:rsidRPr="000309D0" w:rsidRDefault="000309D0" w:rsidP="000309D0">
            <w:pPr>
              <w:spacing w:after="0" w:line="330" w:lineRule="atLeast"/>
              <w:jc w:val="both"/>
              <w:rPr>
                <w:rFonts w:ascii="Times New Roman" w:eastAsia="Times New Roman" w:hAnsi="Times New Roman" w:cs="Times New Roman"/>
              </w:rPr>
            </w:pPr>
            <w:r w:rsidRPr="000309D0">
              <w:rPr>
                <w:rFonts w:ascii="Times New Roman" w:eastAsia="Times New Roman" w:hAnsi="Times New Roman" w:cs="Times New Roman"/>
                <w:rtl/>
              </w:rPr>
              <w:t> </w:t>
            </w:r>
          </w:p>
        </w:tc>
      </w:tr>
      <w:tr w:rsidR="000309D0" w:rsidRPr="000309D0" w:rsidTr="000309D0">
        <w:trPr>
          <w:jc w:val="right"/>
        </w:trPr>
        <w:tc>
          <w:tcPr>
            <w:tcW w:w="2070"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bookmarkStart w:id="5" w:name="כינוי_ב"/>
            <w:r w:rsidRPr="000309D0">
              <w:rPr>
                <w:rFonts w:ascii="David" w:eastAsia="Times New Roman" w:hAnsi="David" w:cs="David"/>
                <w:b/>
                <w:bCs/>
                <w:sz w:val="28"/>
                <w:szCs w:val="28"/>
                <w:u w:val="single"/>
                <w:rtl/>
              </w:rPr>
              <w:t>נתבעים</w:t>
            </w:r>
            <w:bookmarkEnd w:id="5"/>
          </w:p>
        </w:tc>
        <w:tc>
          <w:tcPr>
            <w:tcW w:w="3119" w:type="dxa"/>
            <w:gridSpan w:val="3"/>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2040"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1362" w:type="dxa"/>
            <w:tcMar>
              <w:top w:w="0" w:type="dxa"/>
              <w:left w:w="107" w:type="dxa"/>
              <w:bottom w:w="0" w:type="dxa"/>
              <w:right w:w="107" w:type="dxa"/>
            </w:tcMar>
            <w:hideMark/>
          </w:tcPr>
          <w:p w:rsidR="000309D0" w:rsidRPr="000309D0" w:rsidRDefault="000309D0" w:rsidP="000309D0">
            <w:pPr>
              <w:spacing w:after="0" w:line="240" w:lineRule="auto"/>
              <w:jc w:val="both"/>
              <w:rPr>
                <w:rFonts w:ascii="Times New Roman" w:eastAsia="Times New Roman" w:hAnsi="Times New Roman" w:cs="Times New Roman"/>
              </w:rPr>
            </w:pPr>
            <w:r w:rsidRPr="000309D0">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0309D0" w:rsidRPr="000309D0" w:rsidRDefault="000309D0" w:rsidP="000309D0">
            <w:pPr>
              <w:spacing w:after="0" w:line="330" w:lineRule="atLeast"/>
              <w:jc w:val="both"/>
              <w:rPr>
                <w:rFonts w:ascii="Times New Roman" w:eastAsia="Times New Roman" w:hAnsi="Times New Roman" w:cs="Times New Roman"/>
              </w:rPr>
            </w:pPr>
            <w:r w:rsidRPr="000309D0">
              <w:rPr>
                <w:rFonts w:ascii="Times New Roman" w:eastAsia="Times New Roman" w:hAnsi="Times New Roman" w:cs="Times New Roman"/>
                <w:rtl/>
              </w:rPr>
              <w:t> </w:t>
            </w:r>
          </w:p>
        </w:tc>
      </w:tr>
      <w:tr w:rsidR="000309D0" w:rsidRPr="000309D0" w:rsidTr="000309D0">
        <w:trPr>
          <w:trHeight w:val="284"/>
          <w:jc w:val="right"/>
        </w:trPr>
        <w:tc>
          <w:tcPr>
            <w:tcW w:w="8647" w:type="dxa"/>
            <w:gridSpan w:val="7"/>
            <w:tcMar>
              <w:top w:w="0" w:type="dxa"/>
              <w:left w:w="107" w:type="dxa"/>
              <w:bottom w:w="0" w:type="dxa"/>
              <w:right w:w="107" w:type="dxa"/>
            </w:tcMar>
            <w:hideMark/>
          </w:tcPr>
          <w:p w:rsidR="000309D0" w:rsidRPr="000309D0" w:rsidRDefault="000309D0" w:rsidP="000309D0">
            <w:pPr>
              <w:spacing w:after="0" w:line="240" w:lineRule="auto"/>
              <w:jc w:val="center"/>
              <w:rPr>
                <w:rFonts w:ascii="Times New Roman" w:eastAsia="Times New Roman" w:hAnsi="Times New Roman" w:cs="Times New Roman"/>
                <w:b/>
                <w:bCs/>
              </w:rPr>
            </w:pPr>
            <w:r w:rsidRPr="000309D0">
              <w:rPr>
                <w:rFonts w:ascii="David" w:eastAsia="Times New Roman" w:hAnsi="David" w:cs="David"/>
                <w:b/>
                <w:bCs/>
                <w:sz w:val="28"/>
                <w:szCs w:val="28"/>
                <w:rtl/>
              </w:rPr>
              <w:t>נגד</w:t>
            </w:r>
          </w:p>
        </w:tc>
      </w:tr>
      <w:tr w:rsidR="000309D0" w:rsidRPr="000309D0" w:rsidTr="000309D0">
        <w:trPr>
          <w:trHeight w:val="185"/>
          <w:jc w:val="right"/>
        </w:trPr>
        <w:tc>
          <w:tcPr>
            <w:tcW w:w="2409" w:type="dxa"/>
            <w:gridSpan w:val="2"/>
            <w:tcMar>
              <w:top w:w="0" w:type="dxa"/>
              <w:left w:w="107" w:type="dxa"/>
              <w:bottom w:w="0" w:type="dxa"/>
              <w:right w:w="107" w:type="dxa"/>
            </w:tcMar>
            <w:hideMark/>
          </w:tcPr>
          <w:p w:rsidR="000309D0" w:rsidRPr="000309D0" w:rsidRDefault="000309D0" w:rsidP="000309D0">
            <w:pPr>
              <w:spacing w:after="0" w:line="185" w:lineRule="atLeast"/>
              <w:jc w:val="both"/>
              <w:rPr>
                <w:rFonts w:ascii="Times New Roman" w:eastAsia="Times New Roman" w:hAnsi="Times New Roman" w:cs="Times New Roman"/>
                <w:b/>
                <w:bCs/>
              </w:rPr>
            </w:pPr>
            <w:r w:rsidRPr="000309D0">
              <w:rPr>
                <w:rFonts w:ascii="Times New Roman" w:eastAsia="Times New Roman" w:hAnsi="Times New Roman" w:cs="Times New Roman"/>
                <w:b/>
                <w:bCs/>
                <w:rtl/>
              </w:rPr>
              <w:t> </w:t>
            </w:r>
          </w:p>
        </w:tc>
        <w:tc>
          <w:tcPr>
            <w:tcW w:w="4820" w:type="dxa"/>
            <w:gridSpan w:val="3"/>
            <w:tcMar>
              <w:top w:w="0" w:type="dxa"/>
              <w:left w:w="107" w:type="dxa"/>
              <w:bottom w:w="0" w:type="dxa"/>
              <w:right w:w="107" w:type="dxa"/>
            </w:tcMar>
            <w:hideMark/>
          </w:tcPr>
          <w:p w:rsidR="000309D0" w:rsidRPr="000309D0" w:rsidRDefault="000309D0" w:rsidP="000309D0">
            <w:pPr>
              <w:spacing w:after="0" w:line="185" w:lineRule="atLeast"/>
              <w:jc w:val="both"/>
              <w:rPr>
                <w:rFonts w:ascii="Times New Roman" w:eastAsia="Times New Roman" w:hAnsi="Times New Roman" w:cs="Times New Roman"/>
                <w:b/>
                <w:bCs/>
              </w:rPr>
            </w:pPr>
            <w:r w:rsidRPr="000309D0">
              <w:rPr>
                <w:rFonts w:ascii="David" w:eastAsia="Times New Roman" w:hAnsi="David" w:cs="David"/>
                <w:b/>
                <w:bCs/>
                <w:color w:val="000000"/>
                <w:sz w:val="28"/>
                <w:szCs w:val="28"/>
                <w:rtl/>
              </w:rPr>
              <w:t>אשד אבנר</w:t>
            </w:r>
          </w:p>
        </w:tc>
        <w:tc>
          <w:tcPr>
            <w:tcW w:w="1418" w:type="dxa"/>
            <w:gridSpan w:val="2"/>
            <w:tcMar>
              <w:top w:w="0" w:type="dxa"/>
              <w:left w:w="107" w:type="dxa"/>
              <w:bottom w:w="0" w:type="dxa"/>
              <w:right w:w="107" w:type="dxa"/>
            </w:tcMar>
            <w:hideMark/>
          </w:tcPr>
          <w:p w:rsidR="000309D0" w:rsidRPr="000309D0" w:rsidRDefault="000309D0" w:rsidP="000309D0">
            <w:pPr>
              <w:spacing w:after="0" w:line="185" w:lineRule="atLeast"/>
              <w:jc w:val="both"/>
              <w:rPr>
                <w:rFonts w:ascii="Times New Roman" w:eastAsia="Times New Roman" w:hAnsi="Times New Roman" w:cs="Times New Roman"/>
                <w:b/>
                <w:bCs/>
              </w:rPr>
            </w:pPr>
            <w:r w:rsidRPr="000309D0">
              <w:rPr>
                <w:rFonts w:ascii="Times New Roman" w:eastAsia="Times New Roman" w:hAnsi="Times New Roman" w:cs="Times New Roman"/>
                <w:b/>
                <w:bCs/>
                <w:rtl/>
              </w:rPr>
              <w:t> </w:t>
            </w:r>
          </w:p>
        </w:tc>
      </w:tr>
      <w:tr w:rsidR="000309D0" w:rsidRPr="000309D0" w:rsidTr="000309D0">
        <w:trPr>
          <w:trHeight w:val="185"/>
          <w:jc w:val="right"/>
        </w:trPr>
        <w:tc>
          <w:tcPr>
            <w:tcW w:w="2409" w:type="dxa"/>
            <w:gridSpan w:val="2"/>
            <w:tcMar>
              <w:top w:w="0" w:type="dxa"/>
              <w:left w:w="107" w:type="dxa"/>
              <w:bottom w:w="0" w:type="dxa"/>
              <w:right w:w="107" w:type="dxa"/>
            </w:tcMar>
            <w:hideMark/>
          </w:tcPr>
          <w:p w:rsidR="000309D0" w:rsidRPr="000309D0" w:rsidRDefault="000309D0" w:rsidP="000309D0">
            <w:pPr>
              <w:spacing w:after="0" w:line="185" w:lineRule="atLeast"/>
              <w:jc w:val="both"/>
              <w:rPr>
                <w:rFonts w:ascii="Times New Roman" w:eastAsia="Times New Roman" w:hAnsi="Times New Roman" w:cs="Times New Roman"/>
                <w:b/>
                <w:bCs/>
              </w:rPr>
            </w:pPr>
            <w:r w:rsidRPr="000309D0">
              <w:rPr>
                <w:rFonts w:ascii="David" w:eastAsia="Times New Roman" w:hAnsi="David" w:cs="David"/>
                <w:b/>
                <w:bCs/>
                <w:color w:val="000000"/>
                <w:sz w:val="28"/>
                <w:szCs w:val="28"/>
                <w:rtl/>
              </w:rPr>
              <w:t>נתבע נגדי</w:t>
            </w:r>
          </w:p>
        </w:tc>
        <w:tc>
          <w:tcPr>
            <w:tcW w:w="2410" w:type="dxa"/>
            <w:tcMar>
              <w:top w:w="0" w:type="dxa"/>
              <w:left w:w="107" w:type="dxa"/>
              <w:bottom w:w="0" w:type="dxa"/>
              <w:right w:w="107" w:type="dxa"/>
            </w:tcMar>
            <w:hideMark/>
          </w:tcPr>
          <w:p w:rsidR="000309D0" w:rsidRPr="000309D0" w:rsidRDefault="000309D0" w:rsidP="000309D0">
            <w:pPr>
              <w:spacing w:after="0" w:line="185" w:lineRule="atLeast"/>
              <w:jc w:val="both"/>
              <w:rPr>
                <w:rFonts w:ascii="Times New Roman" w:eastAsia="Times New Roman" w:hAnsi="Times New Roman" w:cs="Times New Roman"/>
                <w:b/>
                <w:bCs/>
              </w:rPr>
            </w:pPr>
            <w:r w:rsidRPr="000309D0">
              <w:rPr>
                <w:rFonts w:ascii="Times New Roman" w:eastAsia="Times New Roman" w:hAnsi="Times New Roman" w:cs="Times New Roman"/>
                <w:b/>
                <w:bCs/>
                <w:rtl/>
              </w:rPr>
              <w:t> </w:t>
            </w:r>
          </w:p>
        </w:tc>
        <w:tc>
          <w:tcPr>
            <w:tcW w:w="2410" w:type="dxa"/>
            <w:gridSpan w:val="2"/>
            <w:tcMar>
              <w:top w:w="0" w:type="dxa"/>
              <w:left w:w="107" w:type="dxa"/>
              <w:bottom w:w="0" w:type="dxa"/>
              <w:right w:w="107" w:type="dxa"/>
            </w:tcMar>
            <w:hideMark/>
          </w:tcPr>
          <w:p w:rsidR="000309D0" w:rsidRPr="000309D0" w:rsidRDefault="000309D0" w:rsidP="000309D0">
            <w:pPr>
              <w:spacing w:after="0" w:line="185" w:lineRule="atLeast"/>
              <w:jc w:val="both"/>
              <w:rPr>
                <w:rFonts w:ascii="Times New Roman" w:eastAsia="Times New Roman" w:hAnsi="Times New Roman" w:cs="Times New Roman"/>
                <w:b/>
                <w:bCs/>
              </w:rPr>
            </w:pPr>
            <w:r w:rsidRPr="000309D0">
              <w:rPr>
                <w:rFonts w:ascii="Times New Roman" w:eastAsia="Times New Roman" w:hAnsi="Times New Roman" w:cs="Times New Roman"/>
                <w:b/>
                <w:bCs/>
                <w:rtl/>
              </w:rPr>
              <w:t> </w:t>
            </w:r>
          </w:p>
        </w:tc>
        <w:tc>
          <w:tcPr>
            <w:tcW w:w="1418" w:type="dxa"/>
            <w:gridSpan w:val="2"/>
            <w:tcMar>
              <w:top w:w="0" w:type="dxa"/>
              <w:left w:w="107" w:type="dxa"/>
              <w:bottom w:w="0" w:type="dxa"/>
              <w:right w:w="107" w:type="dxa"/>
            </w:tcMar>
            <w:hideMark/>
          </w:tcPr>
          <w:p w:rsidR="000309D0" w:rsidRPr="000309D0" w:rsidRDefault="000309D0" w:rsidP="000309D0">
            <w:pPr>
              <w:spacing w:after="0" w:line="185" w:lineRule="atLeast"/>
              <w:jc w:val="both"/>
              <w:rPr>
                <w:rFonts w:ascii="Times New Roman" w:eastAsia="Times New Roman" w:hAnsi="Times New Roman" w:cs="Times New Roman"/>
                <w:b/>
                <w:bCs/>
              </w:rPr>
            </w:pPr>
            <w:r w:rsidRPr="000309D0">
              <w:rPr>
                <w:rFonts w:ascii="Times New Roman" w:eastAsia="Times New Roman" w:hAnsi="Times New Roman" w:cs="Times New Roman"/>
                <w:b/>
                <w:bCs/>
                <w:rtl/>
              </w:rPr>
              <w:t> </w:t>
            </w:r>
          </w:p>
        </w:tc>
      </w:tr>
      <w:tr w:rsidR="000309D0" w:rsidRPr="000309D0" w:rsidTr="000309D0">
        <w:trPr>
          <w:jc w:val="right"/>
        </w:trPr>
        <w:tc>
          <w:tcPr>
            <w:tcW w:w="2070"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c>
          <w:tcPr>
            <w:tcW w:w="345"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c>
          <w:tcPr>
            <w:tcW w:w="375"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c>
          <w:tcPr>
            <w:tcW w:w="2040"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c>
          <w:tcPr>
            <w:tcW w:w="1365"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c>
          <w:tcPr>
            <w:tcW w:w="60" w:type="dxa"/>
            <w:tcBorders>
              <w:top w:val="nil"/>
              <w:left w:val="nil"/>
              <w:bottom w:val="nil"/>
              <w:right w:val="nil"/>
            </w:tcBorders>
            <w:vAlign w:val="center"/>
            <w:hideMark/>
          </w:tcPr>
          <w:p w:rsidR="000309D0" w:rsidRPr="000309D0" w:rsidRDefault="000309D0" w:rsidP="000309D0">
            <w:pPr>
              <w:bidi w:val="0"/>
              <w:spacing w:after="0" w:line="240" w:lineRule="auto"/>
              <w:rPr>
                <w:rFonts w:ascii="Times New Roman" w:eastAsia="Times New Roman" w:hAnsi="Times New Roman" w:cs="Times New Roman"/>
                <w:sz w:val="1"/>
                <w:szCs w:val="24"/>
              </w:rPr>
            </w:pPr>
          </w:p>
        </w:tc>
      </w:tr>
    </w:tbl>
    <w:p w:rsidR="000309D0" w:rsidRPr="000309D0" w:rsidRDefault="000309D0" w:rsidP="000309D0">
      <w:pPr>
        <w:spacing w:after="0" w:line="20" w:lineRule="atLeast"/>
        <w:rPr>
          <w:rFonts w:ascii="Times New Roman" w:eastAsia="Times New Roman" w:hAnsi="Times New Roman" w:cs="Times New Roman"/>
          <w:color w:val="000000"/>
          <w:sz w:val="20"/>
          <w:szCs w:val="20"/>
          <w:rtl/>
        </w:rPr>
      </w:pPr>
      <w:r w:rsidRPr="000309D0">
        <w:rPr>
          <w:rFonts w:ascii="David" w:eastAsia="Times New Roman" w:hAnsi="David" w:cs="David"/>
          <w:color w:val="000000"/>
          <w:sz w:val="28"/>
          <w:szCs w:val="28"/>
          <w:rtl/>
        </w:rPr>
        <w:t> </w:t>
      </w:r>
    </w:p>
    <w:p w:rsidR="000309D0" w:rsidRPr="000309D0" w:rsidRDefault="000309D0" w:rsidP="000309D0">
      <w:pPr>
        <w:spacing w:after="0" w:line="20" w:lineRule="atLeast"/>
        <w:rPr>
          <w:rFonts w:ascii="Times New Roman" w:eastAsia="Times New Roman" w:hAnsi="Times New Roman" w:cs="Times New Roman"/>
          <w:color w:val="000000"/>
          <w:sz w:val="20"/>
          <w:szCs w:val="2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jc w:val="center"/>
        <w:rPr>
          <w:rFonts w:ascii="Times New Roman" w:eastAsia="Times New Roman" w:hAnsi="Times New Roman" w:cs="Times New Roman"/>
          <w:color w:val="000000"/>
          <w:rtl/>
        </w:rPr>
      </w:pPr>
      <w:bookmarkStart w:id="6" w:name="סוג_מסמך"/>
      <w:bookmarkEnd w:id="6"/>
      <w:r w:rsidRPr="000309D0">
        <w:rPr>
          <w:rFonts w:ascii="David" w:eastAsia="Times New Roman" w:hAnsi="David" w:cs="David"/>
          <w:b/>
          <w:bCs/>
          <w:color w:val="000000"/>
          <w:sz w:val="36"/>
          <w:szCs w:val="36"/>
          <w:u w:val="single"/>
          <w:rtl/>
        </w:rPr>
        <w:t> </w:t>
      </w:r>
    </w:p>
    <w:p w:rsidR="000309D0" w:rsidRPr="000309D0" w:rsidRDefault="000309D0" w:rsidP="000309D0">
      <w:pPr>
        <w:spacing w:after="0" w:line="330" w:lineRule="atLeast"/>
        <w:jc w:val="center"/>
        <w:rPr>
          <w:rFonts w:ascii="Times New Roman" w:eastAsia="Times New Roman" w:hAnsi="Times New Roman" w:cs="Times New Roman"/>
          <w:color w:val="000000"/>
          <w:rtl/>
        </w:rPr>
      </w:pPr>
      <w:r w:rsidRPr="000309D0">
        <w:rPr>
          <w:rFonts w:ascii="David" w:eastAsia="Times New Roman" w:hAnsi="David" w:cs="David"/>
          <w:b/>
          <w:bCs/>
          <w:color w:val="000000"/>
          <w:sz w:val="36"/>
          <w:szCs w:val="36"/>
          <w:u w:val="single"/>
          <w:rtl/>
        </w:rPr>
        <w:t>פסק דין</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1.         בפני תביעה ותביעה שכנגד הנוגעות לתאונת דרכים מיום 22.5.04 ברח' רוטשילד בראשל"צ. בתאונה היו מעורבים רכב התובע 2, (להלן: "</w:t>
      </w:r>
      <w:r w:rsidRPr="000309D0">
        <w:rPr>
          <w:rFonts w:ascii="David" w:eastAsia="Times New Roman" w:hAnsi="David" w:cs="David"/>
          <w:b/>
          <w:bCs/>
          <w:color w:val="000000"/>
          <w:sz w:val="28"/>
          <w:szCs w:val="28"/>
          <w:rtl/>
        </w:rPr>
        <w:t>התובע"</w:t>
      </w:r>
      <w:r w:rsidRPr="000309D0">
        <w:rPr>
          <w:rFonts w:ascii="David" w:eastAsia="Times New Roman" w:hAnsi="David" w:cs="David"/>
          <w:color w:val="000000"/>
          <w:sz w:val="28"/>
          <w:szCs w:val="28"/>
          <w:rtl/>
        </w:rPr>
        <w:t>), הוא הנתבע שכנגד, ורכב הנתבע 1, (להלן: </w:t>
      </w:r>
      <w:r w:rsidRPr="000309D0">
        <w:rPr>
          <w:rFonts w:ascii="David" w:eastAsia="Times New Roman" w:hAnsi="David" w:cs="David"/>
          <w:b/>
          <w:bCs/>
          <w:color w:val="000000"/>
          <w:sz w:val="28"/>
          <w:szCs w:val="28"/>
          <w:rtl/>
        </w:rPr>
        <w:t>"הנתבע"</w:t>
      </w:r>
      <w:r w:rsidRPr="000309D0">
        <w:rPr>
          <w:rFonts w:ascii="David" w:eastAsia="Times New Roman" w:hAnsi="David" w:cs="David"/>
          <w:color w:val="000000"/>
          <w:sz w:val="28"/>
          <w:szCs w:val="28"/>
          <w:rtl/>
        </w:rPr>
        <w:t>) אשר המבטחת מטעמו, חברת אישי ישיר בע"מ, היא התובעת שכנגד.</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2.         למעשה אין מחלוקת כי הנתבע ביקש לבצע פניית פרסה, ובטרם השלמתה התרחשה התאונה. המחלוקת היא האם הנתבע ביצע את פניית הפרסה מהנתיב השמאלי, והתובע פגע  בו מאחור, כטענת ההגנה והתביעה שכנגד, או שמא הנתבע החל את ביצוע פניית הפרסה באופן מפתיע מהנתיב הימני, וחסם את דרכו של התובע אשר נסע באותה עת בנתיב השמאלי, וזאת כגרסת התביעה וההגנה שכנגד.</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3.         כמו כן, אין מחלוקת כי כנגד הנתבע הוגש כתב אישום וזה האחרון הורשע במסגרת עסקת טיעון. חרף זאת טוען הנתבע כי פסק הדין המרשיע בהליך הפלילי אינו חוסם אותו מלהעלות טענה של רשלנות תורמת, ומכוח טענה זו הוא אף הגיש תביעה קטנה אשר נדחתה, אגב חיובו בהוצאות לתובע בסך 600 ₪ (ראה: ת/4).</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lastRenderedPageBreak/>
        <w:t>4.         ביום 16.11.05 הופיעו בפני התובע והנתבע. כן העידו בפניי חברתו של הנתבע ואמה אשר היו עם הנתבע ברכב בעת התאונה. הצדדים הציגו בפני את תיק המשטרה, וכן תרשימים שנערכו על ידם.</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xml:space="preserve">5.         לאחר ששמעתי את עדויות הצדדים ועיינתי במסמכים אשר הוצגו בפני, ובכלל זה עדויות הצדדים במשטרה, אני קובעת כי דין התביעה העיקרית להתקבל במלואה ודין התביעה שכנגד </w:t>
      </w:r>
      <w:proofErr w:type="spellStart"/>
      <w:r w:rsidRPr="000309D0">
        <w:rPr>
          <w:rFonts w:ascii="David" w:eastAsia="Times New Roman" w:hAnsi="David" w:cs="David"/>
          <w:color w:val="000000"/>
          <w:sz w:val="28"/>
          <w:szCs w:val="28"/>
          <w:rtl/>
        </w:rPr>
        <w:t>להדחות</w:t>
      </w:r>
      <w:proofErr w:type="spellEnd"/>
      <w:r w:rsidRPr="000309D0">
        <w:rPr>
          <w:rFonts w:ascii="David" w:eastAsia="Times New Roman" w:hAnsi="David" w:cs="David"/>
          <w:color w:val="000000"/>
          <w:sz w:val="28"/>
          <w:szCs w:val="28"/>
          <w:rtl/>
        </w:rPr>
        <w:t xml:space="preserve"> במלואה.</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6.         בדיון בפני בחר הנתבע וכן העדות מטעמו להמשיך ולהשמיע את הגרסה לפיה הוא החל את פניית הפרסה מהנתיב השמאלי.</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גרסה זו אינה עולה בקנה אחד עם ממצאי מזכר המשטרה מיום 22.7.04, שם נקבע במפורש </w:t>
      </w:r>
      <w:r w:rsidRPr="000309D0">
        <w:rPr>
          <w:rFonts w:ascii="David" w:eastAsia="Times New Roman" w:hAnsi="David" w:cs="David"/>
          <w:b/>
          <w:bCs/>
          <w:color w:val="000000"/>
          <w:sz w:val="28"/>
          <w:szCs w:val="28"/>
          <w:rtl/>
        </w:rPr>
        <w:t xml:space="preserve">"לפי הנזקים וכן לפי מצב סופי של הרכבים ניתן לקבוע שרכב </w:t>
      </w:r>
      <w:proofErr w:type="spellStart"/>
      <w:r w:rsidRPr="000309D0">
        <w:rPr>
          <w:rFonts w:ascii="David" w:eastAsia="Times New Roman" w:hAnsi="David" w:cs="David"/>
          <w:b/>
          <w:bCs/>
          <w:color w:val="000000"/>
          <w:sz w:val="28"/>
          <w:szCs w:val="28"/>
          <w:rtl/>
        </w:rPr>
        <w:t>הוולוו</w:t>
      </w:r>
      <w:proofErr w:type="spellEnd"/>
      <w:r w:rsidRPr="000309D0">
        <w:rPr>
          <w:rFonts w:ascii="David" w:eastAsia="Times New Roman" w:hAnsi="David" w:cs="David"/>
          <w:b/>
          <w:bCs/>
          <w:color w:val="000000"/>
          <w:sz w:val="28"/>
          <w:szCs w:val="28"/>
          <w:rtl/>
        </w:rPr>
        <w:t xml:space="preserve"> היה בתהליך בלימה בנתיב שמאל כאשר רכב </w:t>
      </w:r>
      <w:proofErr w:type="spellStart"/>
      <w:r w:rsidRPr="000309D0">
        <w:rPr>
          <w:rFonts w:ascii="David" w:eastAsia="Times New Roman" w:hAnsi="David" w:cs="David"/>
          <w:b/>
          <w:bCs/>
          <w:color w:val="000000"/>
          <w:sz w:val="28"/>
          <w:szCs w:val="28"/>
          <w:rtl/>
        </w:rPr>
        <w:t>האאודי</w:t>
      </w:r>
      <w:proofErr w:type="spellEnd"/>
      <w:r w:rsidRPr="000309D0">
        <w:rPr>
          <w:rFonts w:ascii="David" w:eastAsia="Times New Roman" w:hAnsi="David" w:cs="David"/>
          <w:b/>
          <w:bCs/>
          <w:color w:val="000000"/>
          <w:sz w:val="28"/>
          <w:szCs w:val="28"/>
          <w:rtl/>
        </w:rPr>
        <w:t xml:space="preserve"> היה בתנועה מנתיב ימין ובצע פרסה שחסמה את המשך דרכו של רכב </w:t>
      </w:r>
      <w:proofErr w:type="spellStart"/>
      <w:r w:rsidRPr="000309D0">
        <w:rPr>
          <w:rFonts w:ascii="David" w:eastAsia="Times New Roman" w:hAnsi="David" w:cs="David"/>
          <w:b/>
          <w:bCs/>
          <w:color w:val="000000"/>
          <w:sz w:val="28"/>
          <w:szCs w:val="28"/>
          <w:rtl/>
        </w:rPr>
        <w:t>הוולוו</w:t>
      </w:r>
      <w:proofErr w:type="spellEnd"/>
      <w:r w:rsidRPr="000309D0">
        <w:rPr>
          <w:rFonts w:ascii="David" w:eastAsia="Times New Roman" w:hAnsi="David" w:cs="David"/>
          <w:b/>
          <w:bCs/>
          <w:color w:val="000000"/>
          <w:sz w:val="28"/>
          <w:szCs w:val="28"/>
          <w:rtl/>
        </w:rPr>
        <w:t>".</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b/>
          <w:bCs/>
          <w:color w:val="000000"/>
          <w:sz w:val="28"/>
          <w:szCs w:val="28"/>
          <w:rtl/>
        </w:rPr>
        <w:t>            </w:t>
      </w:r>
      <w:r w:rsidRPr="000309D0">
        <w:rPr>
          <w:rFonts w:ascii="David" w:eastAsia="Times New Roman" w:hAnsi="David" w:cs="David"/>
          <w:color w:val="000000"/>
          <w:sz w:val="28"/>
          <w:szCs w:val="28"/>
          <w:rtl/>
        </w:rPr>
        <w:t>כמו כן, הנתבע הורשע כאמור בהליך הפלילי במסגרת עסקת טיעון. אין בכך כדי להפחית מעצם ההודאה בעובדות הכלולות בכתב האישום שהוגש נגדו, אשר בסעיף 2 שבו נכתב </w:t>
      </w:r>
      <w:r w:rsidRPr="000309D0">
        <w:rPr>
          <w:rFonts w:ascii="David" w:eastAsia="Times New Roman" w:hAnsi="David" w:cs="David"/>
          <w:b/>
          <w:bCs/>
          <w:color w:val="000000"/>
          <w:sz w:val="28"/>
          <w:szCs w:val="28"/>
          <w:rtl/>
        </w:rPr>
        <w:t xml:space="preserve">"הנאשם נהג ברכב ברשלנות ובקלות ראש בכך </w:t>
      </w:r>
      <w:proofErr w:type="spellStart"/>
      <w:r w:rsidRPr="000309D0">
        <w:rPr>
          <w:rFonts w:ascii="David" w:eastAsia="Times New Roman" w:hAnsi="David" w:cs="David"/>
          <w:b/>
          <w:bCs/>
          <w:color w:val="000000"/>
          <w:sz w:val="28"/>
          <w:szCs w:val="28"/>
          <w:rtl/>
        </w:rPr>
        <w:t>שבהיותו</w:t>
      </w:r>
      <w:proofErr w:type="spellEnd"/>
      <w:r w:rsidRPr="000309D0">
        <w:rPr>
          <w:rFonts w:ascii="David" w:eastAsia="Times New Roman" w:hAnsi="David" w:cs="David"/>
          <w:b/>
          <w:bCs/>
          <w:color w:val="000000"/>
          <w:sz w:val="28"/>
          <w:szCs w:val="28"/>
          <w:rtl/>
        </w:rPr>
        <w:t xml:space="preserve"> בנתיב הימני מבין שני נתיבים הפנה את רכבו שמאלה... חסם את דרכו של רכב פרטי (התובע) אשר נסע בנתיב השמאלי"</w:t>
      </w:r>
      <w:r w:rsidRPr="000309D0">
        <w:rPr>
          <w:rFonts w:ascii="David" w:eastAsia="Times New Roman" w:hAnsi="David" w:cs="David"/>
          <w:color w:val="000000"/>
          <w:sz w:val="28"/>
          <w:szCs w:val="28"/>
          <w:rtl/>
        </w:rPr>
        <w:t>.</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xml:space="preserve">7.         אציין, כי בנוסף למסמכים והראיות אשר הוצגו כאמור מתוך תיק המשטרה, גם בית משפט זה הגיע לאותה מסקנה על סמך ניתוח עדויות הצדדים, הנזקים הנראים ברכבי הצדדים והתמונות ת/3 מהן ניתן ללמוד כיצד עמדו הרכבים לאחר התאונה. </w:t>
      </w:r>
      <w:proofErr w:type="spellStart"/>
      <w:r w:rsidRPr="000309D0">
        <w:rPr>
          <w:rFonts w:ascii="David" w:eastAsia="Times New Roman" w:hAnsi="David" w:cs="David"/>
          <w:color w:val="000000"/>
          <w:sz w:val="28"/>
          <w:szCs w:val="28"/>
          <w:rtl/>
        </w:rPr>
        <w:t>זוית</w:t>
      </w:r>
      <w:proofErr w:type="spellEnd"/>
      <w:r w:rsidRPr="000309D0">
        <w:rPr>
          <w:rFonts w:ascii="David" w:eastAsia="Times New Roman" w:hAnsi="David" w:cs="David"/>
          <w:color w:val="000000"/>
          <w:sz w:val="28"/>
          <w:szCs w:val="28"/>
          <w:rtl/>
        </w:rPr>
        <w:t xml:space="preserve"> רכב הנתבע כלפי </w:t>
      </w:r>
      <w:proofErr w:type="spellStart"/>
      <w:r w:rsidRPr="000309D0">
        <w:rPr>
          <w:rFonts w:ascii="David" w:eastAsia="Times New Roman" w:hAnsi="David" w:cs="David"/>
          <w:color w:val="000000"/>
          <w:sz w:val="28"/>
          <w:szCs w:val="28"/>
          <w:rtl/>
        </w:rPr>
        <w:t>זוית</w:t>
      </w:r>
      <w:proofErr w:type="spellEnd"/>
      <w:r w:rsidRPr="000309D0">
        <w:rPr>
          <w:rFonts w:ascii="David" w:eastAsia="Times New Roman" w:hAnsi="David" w:cs="David"/>
          <w:color w:val="000000"/>
          <w:sz w:val="28"/>
          <w:szCs w:val="28"/>
          <w:rtl/>
        </w:rPr>
        <w:t xml:space="preserve"> רכב התובע שוללת מכל וכל את הטענה כי הוא החל בביצוע פניית הפרסה מנתיב שמאלי, ורכב התובע הגיח מאחוריו.</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xml:space="preserve">8.         לעניין המהירות המופרזת אשר ניסו הנתבע ועדיו לייחס לתובע : משמצאתי את גרסתם בכללותה כבלתי אמינה, אין לקבל את עדותם בנקודה זו. מעבר לכך גם לגופו של עניין לא מצאתי ממש בטענה זו, הנתבע הודה בעצמו כי כריות </w:t>
      </w:r>
      <w:proofErr w:type="spellStart"/>
      <w:r w:rsidRPr="000309D0">
        <w:rPr>
          <w:rFonts w:ascii="David" w:eastAsia="Times New Roman" w:hAnsi="David" w:cs="David"/>
          <w:color w:val="000000"/>
          <w:sz w:val="28"/>
          <w:szCs w:val="28"/>
          <w:rtl/>
        </w:rPr>
        <w:t>האויר</w:t>
      </w:r>
      <w:proofErr w:type="spellEnd"/>
      <w:r w:rsidRPr="000309D0">
        <w:rPr>
          <w:rFonts w:ascii="David" w:eastAsia="Times New Roman" w:hAnsi="David" w:cs="David"/>
          <w:color w:val="000000"/>
          <w:sz w:val="28"/>
          <w:szCs w:val="28"/>
          <w:rtl/>
        </w:rPr>
        <w:t xml:space="preserve"> ברכב התובע לא נפתחו וכי כלל לא ראה את רכב התובע מגיח במהירות, אלא זו מסקנה בלבד.</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מאידך, עדותו של התובע תואמת את מסקנות המשטרה ובית משפט זה ולכן גם עדותו לגבי תוואי השטח ומהירות נסיעתו (כ- 40 קמ"ש) מקובלת עלי.</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xml:space="preserve">9.         גם </w:t>
      </w:r>
      <w:proofErr w:type="spellStart"/>
      <w:r w:rsidRPr="000309D0">
        <w:rPr>
          <w:rFonts w:ascii="David" w:eastAsia="Times New Roman" w:hAnsi="David" w:cs="David"/>
          <w:color w:val="000000"/>
          <w:sz w:val="28"/>
          <w:szCs w:val="28"/>
          <w:rtl/>
        </w:rPr>
        <w:t>הארועים</w:t>
      </w:r>
      <w:proofErr w:type="spellEnd"/>
      <w:r w:rsidRPr="000309D0">
        <w:rPr>
          <w:rFonts w:ascii="David" w:eastAsia="Times New Roman" w:hAnsi="David" w:cs="David"/>
          <w:color w:val="000000"/>
          <w:sz w:val="28"/>
          <w:szCs w:val="28"/>
          <w:rtl/>
        </w:rPr>
        <w:t xml:space="preserve"> אשר </w:t>
      </w:r>
      <w:proofErr w:type="spellStart"/>
      <w:r w:rsidRPr="000309D0">
        <w:rPr>
          <w:rFonts w:ascii="David" w:eastAsia="Times New Roman" w:hAnsi="David" w:cs="David"/>
          <w:color w:val="000000"/>
          <w:sz w:val="28"/>
          <w:szCs w:val="28"/>
          <w:rtl/>
        </w:rPr>
        <w:t>ארעו</w:t>
      </w:r>
      <w:proofErr w:type="spellEnd"/>
      <w:r w:rsidRPr="000309D0">
        <w:rPr>
          <w:rFonts w:ascii="David" w:eastAsia="Times New Roman" w:hAnsi="David" w:cs="David"/>
          <w:color w:val="000000"/>
          <w:sz w:val="28"/>
          <w:szCs w:val="28"/>
          <w:rtl/>
        </w:rPr>
        <w:t xml:space="preserve"> לאחר התאונה, קרי הזמנת המשטרה והאמבולנס על ידי הנתבע ומאוחר יותר </w:t>
      </w:r>
      <w:proofErr w:type="spellStart"/>
      <w:r w:rsidRPr="000309D0">
        <w:rPr>
          <w:rFonts w:ascii="David" w:eastAsia="Times New Roman" w:hAnsi="David" w:cs="David"/>
          <w:color w:val="000000"/>
          <w:sz w:val="28"/>
          <w:szCs w:val="28"/>
          <w:rtl/>
        </w:rPr>
        <w:t>סרובם</w:t>
      </w:r>
      <w:proofErr w:type="spellEnd"/>
      <w:r w:rsidRPr="000309D0">
        <w:rPr>
          <w:rFonts w:ascii="David" w:eastAsia="Times New Roman" w:hAnsi="David" w:cs="David"/>
          <w:color w:val="000000"/>
          <w:sz w:val="28"/>
          <w:szCs w:val="28"/>
          <w:rtl/>
        </w:rPr>
        <w:t xml:space="preserve"> של הנתבע ועדיו להתפנות מהמקום באמבולנס, מתיישבים כאמור עם גרסת התובע </w:t>
      </w:r>
      <w:proofErr w:type="spellStart"/>
      <w:r w:rsidRPr="000309D0">
        <w:rPr>
          <w:rFonts w:ascii="David" w:eastAsia="Times New Roman" w:hAnsi="David" w:cs="David"/>
          <w:color w:val="000000"/>
          <w:sz w:val="28"/>
          <w:szCs w:val="28"/>
          <w:rtl/>
        </w:rPr>
        <w:t>לארועים</w:t>
      </w:r>
      <w:proofErr w:type="spellEnd"/>
      <w:r w:rsidRPr="000309D0">
        <w:rPr>
          <w:rFonts w:ascii="David" w:eastAsia="Times New Roman" w:hAnsi="David" w:cs="David"/>
          <w:color w:val="000000"/>
          <w:sz w:val="28"/>
          <w:szCs w:val="28"/>
          <w:rtl/>
        </w:rPr>
        <w:t>.</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xml:space="preserve">10.       מכל הנימוקים הללו, ולאחר ששוכנעתי כי הנתבע בצע תפנית מפתיעה שמאלה מנתיב ימיני, אגב חסימת נתיבו של התובע, כאשר התובע נוסע במהירות סבירה והולמת את תנאי השטח, וכאשר המרווח בין הרכבים בעת </w:t>
      </w:r>
      <w:r w:rsidRPr="000309D0">
        <w:rPr>
          <w:rFonts w:ascii="David" w:eastAsia="Times New Roman" w:hAnsi="David" w:cs="David"/>
          <w:color w:val="000000"/>
          <w:sz w:val="28"/>
          <w:szCs w:val="28"/>
          <w:rtl/>
        </w:rPr>
        <w:lastRenderedPageBreak/>
        <w:t>הסטייה (כשני מטר, וזאת לפי גרסתו הן במשטרה והן בפני), אינו מותיר בידו מרחב תמרון להתחמק מהפגיעה, אזי דין התביעה העיקרית להתקבל במלואה ודין התביעה שכנגד להידחות.</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11.       לפיכך, ישלמו הנתבעים לתובעים בתביעה העיקרית את סכום התביעה בסך 5,236 ₪ בתוספת הפרשי הצמדה מיום הגשת התביעה, 17.10.04 ועד התשלום המלא בפועל.</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כמו כן ישלמו הנתבעים הוצאות משפט בתביעה העיקרית הכוללות את שכר העד בסך 250 ₪, האגרה בסך 277 ₪ ושכר טרחת עו"ד בסך 781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12.       התביעה שכנגד אשר לא היה כל מקום להגשתה, נדחית.</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התובעת שכנגד תשלם לנתבעים שכנגד הוצאות משפט בסך 1,000 ₪ בתוספת מע"מ כדין.</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כל הסכומים שנפסקו במסגרת פסק דין זה ישולמו תוך 30 יום מיום קבלת פסק הדין.</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r w:rsidRPr="000309D0">
        <w:rPr>
          <w:rFonts w:ascii="David" w:eastAsia="Times New Roman" w:hAnsi="David" w:cs="David"/>
          <w:color w:val="000000"/>
          <w:sz w:val="28"/>
          <w:szCs w:val="28"/>
          <w:u w:val="single"/>
          <w:rtl/>
        </w:rPr>
        <w:t>המזכירות תשלח עותק פסק הדין לצדדים בדואר.</w:t>
      </w:r>
    </w:p>
    <w:p w:rsidR="000309D0" w:rsidRPr="000309D0" w:rsidRDefault="000309D0" w:rsidP="000309D0">
      <w:pPr>
        <w:spacing w:after="0" w:line="330" w:lineRule="atLeast"/>
        <w:ind w:left="720" w:hanging="720"/>
        <w:jc w:val="both"/>
        <w:rPr>
          <w:rFonts w:ascii="Times New Roman" w:eastAsia="Times New Roman" w:hAnsi="Times New Roman" w:cs="Times New Roman"/>
          <w:color w:val="000000"/>
          <w:rtl/>
        </w:rPr>
      </w:pPr>
      <w:r w:rsidRPr="000309D0">
        <w:rPr>
          <w:rFonts w:ascii="David" w:eastAsia="Times New Roman" w:hAnsi="David" w:cs="David"/>
          <w:b/>
          <w:bCs/>
          <w:color w:val="000000"/>
          <w:sz w:val="28"/>
          <w:szCs w:val="28"/>
          <w:rtl/>
        </w:rPr>
        <w:t> </w:t>
      </w:r>
    </w:p>
    <w:p w:rsidR="000309D0" w:rsidRPr="000309D0" w:rsidRDefault="000309D0" w:rsidP="000309D0">
      <w:pPr>
        <w:spacing w:after="0" w:line="330" w:lineRule="atLeast"/>
        <w:jc w:val="both"/>
        <w:rPr>
          <w:rFonts w:ascii="Times New Roman" w:eastAsia="Times New Roman" w:hAnsi="Times New Roman" w:cs="Times New Roman"/>
          <w:color w:val="000000"/>
          <w:rtl/>
        </w:rPr>
      </w:pPr>
      <w:bookmarkStart w:id="7" w:name="Decision1"/>
      <w:r w:rsidRPr="000309D0">
        <w:rPr>
          <w:rFonts w:ascii="Arial" w:eastAsia="Times New Roman" w:hAnsi="Arial" w:cs="Arial"/>
          <w:b/>
          <w:bCs/>
          <w:color w:val="000000"/>
          <w:sz w:val="24"/>
          <w:szCs w:val="24"/>
          <w:rtl/>
        </w:rPr>
        <w:t> </w:t>
      </w:r>
      <w:bookmarkEnd w:id="7"/>
    </w:p>
    <w:p w:rsidR="000309D0" w:rsidRPr="000309D0" w:rsidRDefault="000309D0" w:rsidP="000309D0">
      <w:pPr>
        <w:spacing w:after="0" w:line="330" w:lineRule="atLeast"/>
        <w:jc w:val="both"/>
        <w:rPr>
          <w:rFonts w:ascii="Times New Roman" w:eastAsia="Times New Roman" w:hAnsi="Times New Roman" w:cs="Times New Roman"/>
          <w:color w:val="000000"/>
          <w:rtl/>
        </w:rPr>
      </w:pPr>
      <w:r w:rsidRPr="000309D0">
        <w:rPr>
          <w:rFonts w:ascii="David" w:eastAsia="Times New Roman" w:hAnsi="David" w:cs="David"/>
          <w:b/>
          <w:bCs/>
          <w:color w:val="000000"/>
          <w:sz w:val="28"/>
          <w:szCs w:val="28"/>
          <w:rtl/>
        </w:rPr>
        <w:t>ניתן היום י"ד בחשון, תשס"ו (16 בנובמבר 2005) בהעדר הצדדים.</w:t>
      </w:r>
    </w:p>
    <w:p w:rsidR="000309D0" w:rsidRPr="000309D0" w:rsidRDefault="000309D0" w:rsidP="000309D0">
      <w:pPr>
        <w:spacing w:after="0" w:line="330" w:lineRule="atLeast"/>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tbl>
      <w:tblPr>
        <w:tblW w:w="2758" w:type="dxa"/>
        <w:jc w:val="right"/>
        <w:tblInd w:w="6011" w:type="dxa"/>
        <w:tblCellMar>
          <w:left w:w="0" w:type="dxa"/>
          <w:right w:w="0" w:type="dxa"/>
        </w:tblCellMar>
        <w:tblLook w:val="04A0" w:firstRow="1" w:lastRow="0" w:firstColumn="1" w:lastColumn="0" w:noHBand="0" w:noVBand="1"/>
      </w:tblPr>
      <w:tblGrid>
        <w:gridCol w:w="2758"/>
      </w:tblGrid>
      <w:tr w:rsidR="000309D0" w:rsidRPr="000309D0" w:rsidTr="000309D0">
        <w:trPr>
          <w:jc w:val="right"/>
        </w:trPr>
        <w:tc>
          <w:tcPr>
            <w:tcW w:w="2758" w:type="dxa"/>
            <w:tcBorders>
              <w:top w:val="single" w:sz="4" w:space="0" w:color="auto"/>
              <w:left w:val="nil"/>
              <w:bottom w:val="nil"/>
              <w:right w:val="nil"/>
            </w:tcBorders>
            <w:tcMar>
              <w:top w:w="0" w:type="dxa"/>
              <w:left w:w="108" w:type="dxa"/>
              <w:bottom w:w="0" w:type="dxa"/>
              <w:right w:w="108" w:type="dxa"/>
            </w:tcMar>
            <w:hideMark/>
          </w:tcPr>
          <w:p w:rsidR="000309D0" w:rsidRPr="000309D0" w:rsidRDefault="000309D0" w:rsidP="000309D0">
            <w:pPr>
              <w:spacing w:after="0" w:line="330" w:lineRule="atLeast"/>
              <w:jc w:val="center"/>
              <w:rPr>
                <w:rFonts w:ascii="Times New Roman" w:eastAsia="Times New Roman" w:hAnsi="Times New Roman" w:cs="Times New Roman"/>
              </w:rPr>
            </w:pPr>
            <w:r w:rsidRPr="000309D0">
              <w:rPr>
                <w:rFonts w:ascii="David" w:eastAsia="Times New Roman" w:hAnsi="David" w:cs="David"/>
                <w:b/>
                <w:bCs/>
                <w:color w:val="000000"/>
                <w:sz w:val="28"/>
                <w:szCs w:val="28"/>
                <w:rtl/>
              </w:rPr>
              <w:t xml:space="preserve">חנה </w:t>
            </w:r>
            <w:proofErr w:type="spellStart"/>
            <w:r w:rsidRPr="000309D0">
              <w:rPr>
                <w:rFonts w:ascii="David" w:eastAsia="Times New Roman" w:hAnsi="David" w:cs="David"/>
                <w:b/>
                <w:bCs/>
                <w:color w:val="000000"/>
                <w:sz w:val="28"/>
                <w:szCs w:val="28"/>
                <w:rtl/>
              </w:rPr>
              <w:t>פלינר</w:t>
            </w:r>
            <w:proofErr w:type="spellEnd"/>
            <w:r w:rsidRPr="000309D0">
              <w:rPr>
                <w:rFonts w:ascii="David" w:eastAsia="Times New Roman" w:hAnsi="David" w:cs="David"/>
                <w:b/>
                <w:bCs/>
                <w:color w:val="000000"/>
                <w:sz w:val="28"/>
                <w:szCs w:val="28"/>
                <w:rtl/>
              </w:rPr>
              <w:t>, שופטת</w:t>
            </w:r>
          </w:p>
        </w:tc>
      </w:tr>
    </w:tbl>
    <w:p w:rsidR="000309D0" w:rsidRPr="000309D0" w:rsidRDefault="000309D0" w:rsidP="000309D0">
      <w:pPr>
        <w:spacing w:after="0" w:line="330" w:lineRule="atLeast"/>
        <w:jc w:val="right"/>
        <w:rPr>
          <w:rFonts w:ascii="Times New Roman" w:eastAsia="Times New Roman" w:hAnsi="Times New Roman" w:cs="Times New Roman"/>
          <w:color w:val="000000"/>
          <w:rtl/>
        </w:rPr>
      </w:pPr>
      <w:r w:rsidRPr="000309D0">
        <w:rPr>
          <w:rFonts w:ascii="Times New Roman" w:eastAsia="Times New Roman" w:hAnsi="Times New Roman" w:cs="Times New Roman"/>
          <w:b/>
          <w:bCs/>
          <w:color w:val="FF0000"/>
        </w:rPr>
        <w:t> </w:t>
      </w:r>
    </w:p>
    <w:p w:rsidR="000309D0" w:rsidRPr="000309D0" w:rsidRDefault="000309D0" w:rsidP="000309D0">
      <w:pPr>
        <w:spacing w:after="0" w:line="330" w:lineRule="atLeast"/>
        <w:jc w:val="both"/>
        <w:rPr>
          <w:rFonts w:ascii="Times New Roman" w:eastAsia="Times New Roman" w:hAnsi="Times New Roman" w:cs="Times New Roman"/>
          <w:color w:val="000000"/>
          <w:rtl/>
        </w:rPr>
      </w:pPr>
      <w:r w:rsidRPr="000309D0">
        <w:rPr>
          <w:rFonts w:ascii="David" w:eastAsia="Times New Roman" w:hAnsi="David" w:cs="David"/>
          <w:color w:val="000000"/>
          <w:sz w:val="24"/>
          <w:szCs w:val="24"/>
          <w:rtl/>
        </w:rPr>
        <w:t xml:space="preserve">קלדנית : </w:t>
      </w:r>
      <w:proofErr w:type="spellStart"/>
      <w:r w:rsidRPr="000309D0">
        <w:rPr>
          <w:rFonts w:ascii="David" w:eastAsia="Times New Roman" w:hAnsi="David" w:cs="David"/>
          <w:color w:val="000000"/>
          <w:sz w:val="24"/>
          <w:szCs w:val="24"/>
          <w:rtl/>
        </w:rPr>
        <w:t>ענת.ש.ס</w:t>
      </w:r>
      <w:proofErr w:type="spellEnd"/>
      <w:r w:rsidRPr="000309D0">
        <w:rPr>
          <w:rFonts w:ascii="David" w:eastAsia="Times New Roman" w:hAnsi="David" w:cs="David"/>
          <w:color w:val="000000"/>
          <w:sz w:val="24"/>
          <w:szCs w:val="24"/>
          <w:rtl/>
        </w:rPr>
        <w:t>.</w:t>
      </w:r>
    </w:p>
    <w:p w:rsidR="000309D0" w:rsidRPr="000309D0" w:rsidRDefault="000309D0" w:rsidP="000309D0">
      <w:pPr>
        <w:spacing w:after="0" w:line="330" w:lineRule="atLeast"/>
        <w:jc w:val="both"/>
        <w:rPr>
          <w:rFonts w:ascii="Times New Roman" w:eastAsia="Times New Roman" w:hAnsi="Times New Roman" w:cs="Times New Roman"/>
          <w:color w:val="000000"/>
          <w:rtl/>
        </w:rPr>
      </w:pPr>
      <w:r w:rsidRPr="000309D0">
        <w:rPr>
          <w:rFonts w:ascii="David" w:eastAsia="Times New Roman" w:hAnsi="David" w:cs="David"/>
          <w:color w:val="000000"/>
          <w:sz w:val="28"/>
          <w:szCs w:val="28"/>
          <w:rtl/>
        </w:rPr>
        <w:t> </w:t>
      </w:r>
    </w:p>
    <w:p w:rsidR="000309D0" w:rsidRPr="000309D0" w:rsidRDefault="000309D0" w:rsidP="000309D0">
      <w:pPr>
        <w:spacing w:after="0" w:line="330" w:lineRule="atLeast"/>
        <w:jc w:val="both"/>
        <w:rPr>
          <w:rFonts w:ascii="Times New Roman" w:eastAsia="Times New Roman" w:hAnsi="Times New Roman" w:cs="Times New Roman"/>
          <w:color w:val="000000"/>
          <w:rtl/>
        </w:rPr>
      </w:pPr>
      <w:r w:rsidRPr="000309D0">
        <w:rPr>
          <w:rFonts w:ascii="Arial" w:eastAsia="Times New Roman" w:hAnsi="Arial" w:cs="Arial"/>
          <w:color w:val="000000"/>
          <w:sz w:val="28"/>
          <w:szCs w:val="28"/>
        </w:rPr>
        <w:t> </w:t>
      </w:r>
    </w:p>
    <w:p w:rsidR="000309D0" w:rsidRPr="000309D0" w:rsidRDefault="000309D0" w:rsidP="000309D0">
      <w:pPr>
        <w:spacing w:after="0" w:line="330" w:lineRule="atLeast"/>
        <w:jc w:val="both"/>
        <w:rPr>
          <w:rFonts w:ascii="Times New Roman" w:eastAsia="Times New Roman" w:hAnsi="Times New Roman" w:cs="Times New Roman"/>
          <w:color w:val="000000"/>
          <w:rtl/>
        </w:rPr>
      </w:pPr>
      <w:r w:rsidRPr="000309D0">
        <w:rPr>
          <w:rFonts w:ascii="Arial" w:eastAsia="Times New Roman" w:hAnsi="Arial" w:cs="Arial"/>
          <w:color w:val="000000"/>
          <w:sz w:val="28"/>
          <w:szCs w:val="28"/>
        </w:rPr>
        <w:t> </w:t>
      </w:r>
    </w:p>
    <w:p w:rsidR="00495F6D" w:rsidRDefault="00495F6D">
      <w:bookmarkStart w:id="8" w:name="_GoBack"/>
      <w:bookmarkEnd w:id="8"/>
    </w:p>
    <w:sectPr w:rsidR="00495F6D" w:rsidSect="00D72B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D0"/>
    <w:rsid w:val="000309D0"/>
    <w:rsid w:val="00495F6D"/>
    <w:rsid w:val="00D72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uiPriority w:val="9"/>
    <w:qFormat/>
    <w:rsid w:val="000309D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0309D0"/>
    <w:rPr>
      <w:rFonts w:ascii="Times New Roman" w:eastAsia="Times New Roman" w:hAnsi="Times New Roman" w:cs="Times New Roman"/>
      <w:b/>
      <w:bCs/>
      <w:sz w:val="24"/>
      <w:szCs w:val="24"/>
    </w:rPr>
  </w:style>
  <w:style w:type="paragraph" w:styleId="a3">
    <w:name w:val="header"/>
    <w:basedOn w:val="a"/>
    <w:link w:val="a4"/>
    <w:uiPriority w:val="99"/>
    <w:unhideWhenUsed/>
    <w:rsid w:val="000309D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0309D0"/>
    <w:rPr>
      <w:rFonts w:ascii="Times New Roman" w:eastAsia="Times New Roman" w:hAnsi="Times New Roman" w:cs="Times New Roman"/>
      <w:sz w:val="24"/>
      <w:szCs w:val="24"/>
    </w:rPr>
  </w:style>
  <w:style w:type="character" w:styleId="a5">
    <w:name w:val="page number"/>
    <w:basedOn w:val="a0"/>
    <w:uiPriority w:val="99"/>
    <w:semiHidden/>
    <w:unhideWhenUsed/>
    <w:rsid w:val="000309D0"/>
  </w:style>
  <w:style w:type="paragraph" w:customStyle="1" w:styleId="a6">
    <w:name w:val="a"/>
    <w:basedOn w:val="a"/>
    <w:rsid w:val="000309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0309D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uiPriority w:val="9"/>
    <w:qFormat/>
    <w:rsid w:val="000309D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0309D0"/>
    <w:rPr>
      <w:rFonts w:ascii="Times New Roman" w:eastAsia="Times New Roman" w:hAnsi="Times New Roman" w:cs="Times New Roman"/>
      <w:b/>
      <w:bCs/>
      <w:sz w:val="24"/>
      <w:szCs w:val="24"/>
    </w:rPr>
  </w:style>
  <w:style w:type="paragraph" w:styleId="a3">
    <w:name w:val="header"/>
    <w:basedOn w:val="a"/>
    <w:link w:val="a4"/>
    <w:uiPriority w:val="99"/>
    <w:unhideWhenUsed/>
    <w:rsid w:val="000309D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0309D0"/>
    <w:rPr>
      <w:rFonts w:ascii="Times New Roman" w:eastAsia="Times New Roman" w:hAnsi="Times New Roman" w:cs="Times New Roman"/>
      <w:sz w:val="24"/>
      <w:szCs w:val="24"/>
    </w:rPr>
  </w:style>
  <w:style w:type="character" w:styleId="a5">
    <w:name w:val="page number"/>
    <w:basedOn w:val="a0"/>
    <w:uiPriority w:val="99"/>
    <w:semiHidden/>
    <w:unhideWhenUsed/>
    <w:rsid w:val="000309D0"/>
  </w:style>
  <w:style w:type="paragraph" w:customStyle="1" w:styleId="a6">
    <w:name w:val="a"/>
    <w:basedOn w:val="a"/>
    <w:rsid w:val="000309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0309D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34009">
      <w:bodyDiv w:val="1"/>
      <w:marLeft w:val="0"/>
      <w:marRight w:val="0"/>
      <w:marTop w:val="0"/>
      <w:marBottom w:val="0"/>
      <w:divBdr>
        <w:top w:val="none" w:sz="0" w:space="0" w:color="auto"/>
        <w:left w:val="none" w:sz="0" w:space="0" w:color="auto"/>
        <w:bottom w:val="none" w:sz="0" w:space="0" w:color="auto"/>
        <w:right w:val="none" w:sz="0" w:space="0" w:color="auto"/>
      </w:divBdr>
      <w:divsChild>
        <w:div w:id="122067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3635</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2018-02-28T11:39:00Z</dcterms:created>
  <dcterms:modified xsi:type="dcterms:W3CDTF">2018-02-28T11:39:00Z</dcterms:modified>
</cp:coreProperties>
</file>